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3BEF3" w14:textId="77777777" w:rsidR="00F73504" w:rsidRDefault="005A1551" w:rsidP="00DA64B5">
      <w:pPr>
        <w:pStyle w:val="Heading1"/>
        <w:spacing w:before="0"/>
        <w:jc w:val="center"/>
      </w:pPr>
      <w:r>
        <w:t>Addendum #</w:t>
      </w:r>
      <w:r w:rsidR="00F114EB">
        <w:t>1</w:t>
      </w:r>
    </w:p>
    <w:p w14:paraId="43E13D14" w14:textId="77777777" w:rsidR="005A1551" w:rsidRDefault="005A1551" w:rsidP="00DA64B5">
      <w:pPr>
        <w:pStyle w:val="Heading1"/>
        <w:spacing w:before="120"/>
        <w:jc w:val="center"/>
      </w:pPr>
      <w:r>
        <w:t>RFP RG-1</w:t>
      </w:r>
      <w:r w:rsidR="00782DB0">
        <w:t>7</w:t>
      </w:r>
      <w:r>
        <w:t>-</w:t>
      </w:r>
      <w:r w:rsidR="00F114EB">
        <w:t>26</w:t>
      </w:r>
      <w:r w:rsidR="00782DB0">
        <w:t>63</w:t>
      </w:r>
    </w:p>
    <w:p w14:paraId="32F10913" w14:textId="77777777" w:rsidR="005A1551" w:rsidRDefault="005A1551" w:rsidP="00DA64B5">
      <w:pPr>
        <w:pStyle w:val="Heading2"/>
        <w:spacing w:before="120"/>
        <w:jc w:val="center"/>
      </w:pPr>
      <w:r>
        <w:t>Vendor Questions and Answers</w:t>
      </w:r>
    </w:p>
    <w:tbl>
      <w:tblPr>
        <w:tblStyle w:val="TableGrid"/>
        <w:tblW w:w="0" w:type="auto"/>
        <w:tblLayout w:type="fixed"/>
        <w:tblLook w:val="04A0" w:firstRow="1" w:lastRow="0" w:firstColumn="1" w:lastColumn="0" w:noHBand="0" w:noVBand="1"/>
      </w:tblPr>
      <w:tblGrid>
        <w:gridCol w:w="625"/>
        <w:gridCol w:w="2430"/>
        <w:gridCol w:w="7735"/>
      </w:tblGrid>
      <w:tr w:rsidR="005A1551" w14:paraId="703E2121" w14:textId="77777777" w:rsidTr="007B0929">
        <w:tc>
          <w:tcPr>
            <w:tcW w:w="625" w:type="dxa"/>
          </w:tcPr>
          <w:p w14:paraId="63F5EB74" w14:textId="77777777" w:rsidR="005A1551" w:rsidRDefault="005A1551" w:rsidP="004F7EA2">
            <w:pPr>
              <w:jc w:val="center"/>
            </w:pPr>
            <w:r>
              <w:t>1</w:t>
            </w:r>
          </w:p>
        </w:tc>
        <w:tc>
          <w:tcPr>
            <w:tcW w:w="2430" w:type="dxa"/>
            <w:shd w:val="clear" w:color="auto" w:fill="E5DFEC" w:themeFill="accent4" w:themeFillTint="33"/>
          </w:tcPr>
          <w:p w14:paraId="6C569AE7" w14:textId="77777777" w:rsidR="005A1551" w:rsidRPr="002826AE" w:rsidRDefault="00092605" w:rsidP="003040D7">
            <w:r>
              <w:t>Has funding been approved for this? If so, what amount was approved?</w:t>
            </w:r>
          </w:p>
        </w:tc>
        <w:tc>
          <w:tcPr>
            <w:tcW w:w="7735" w:type="dxa"/>
            <w:shd w:val="clear" w:color="auto" w:fill="EAF1DD" w:themeFill="accent3" w:themeFillTint="33"/>
          </w:tcPr>
          <w:p w14:paraId="518180FC" w14:textId="583F9956" w:rsidR="00587E67" w:rsidRPr="00F54DEA" w:rsidRDefault="002D6F22" w:rsidP="005F26DC">
            <w:pPr>
              <w:rPr>
                <w:b/>
              </w:rPr>
            </w:pPr>
            <w:r>
              <w:rPr>
                <w:b/>
              </w:rPr>
              <w:t xml:space="preserve">Yes.  The University </w:t>
            </w:r>
            <w:r w:rsidR="005F26DC">
              <w:rPr>
                <w:b/>
              </w:rPr>
              <w:t>does</w:t>
            </w:r>
            <w:r w:rsidR="00543FFB">
              <w:rPr>
                <w:b/>
              </w:rPr>
              <w:t xml:space="preserve"> not disclose </w:t>
            </w:r>
            <w:r w:rsidR="00F85C8E">
              <w:rPr>
                <w:b/>
              </w:rPr>
              <w:t xml:space="preserve">that information </w:t>
            </w:r>
            <w:r w:rsidR="005F26DC">
              <w:rPr>
                <w:b/>
              </w:rPr>
              <w:t>prior to contract award</w:t>
            </w:r>
            <w:r>
              <w:rPr>
                <w:b/>
              </w:rPr>
              <w:t>.</w:t>
            </w:r>
          </w:p>
        </w:tc>
      </w:tr>
      <w:tr w:rsidR="005A1551" w14:paraId="322731F9" w14:textId="77777777" w:rsidTr="007B0929">
        <w:tc>
          <w:tcPr>
            <w:tcW w:w="625" w:type="dxa"/>
          </w:tcPr>
          <w:p w14:paraId="1A89EA2C" w14:textId="77777777" w:rsidR="005A1551" w:rsidRDefault="005A1551" w:rsidP="004F7EA2">
            <w:pPr>
              <w:jc w:val="center"/>
            </w:pPr>
            <w:r>
              <w:t>2</w:t>
            </w:r>
          </w:p>
        </w:tc>
        <w:tc>
          <w:tcPr>
            <w:tcW w:w="2430" w:type="dxa"/>
            <w:shd w:val="clear" w:color="auto" w:fill="E5DFEC" w:themeFill="accent4" w:themeFillTint="33"/>
          </w:tcPr>
          <w:p w14:paraId="37E96523" w14:textId="77777777" w:rsidR="005A1551" w:rsidRPr="002826AE" w:rsidRDefault="00092605" w:rsidP="005A1551">
            <w:r w:rsidRPr="00092605">
              <w:t>Is the current LMS system vendor operated? If so, who is the incumbent and when does their contract expire?</w:t>
            </w:r>
          </w:p>
        </w:tc>
        <w:tc>
          <w:tcPr>
            <w:tcW w:w="7735" w:type="dxa"/>
            <w:shd w:val="clear" w:color="auto" w:fill="EAF1DD" w:themeFill="accent3" w:themeFillTint="33"/>
          </w:tcPr>
          <w:p w14:paraId="0FD9D0AD" w14:textId="77777777" w:rsidR="005A1551" w:rsidRPr="00587E67" w:rsidRDefault="00501E31" w:rsidP="0048007C">
            <w:pPr>
              <w:rPr>
                <w:b/>
              </w:rPr>
            </w:pPr>
            <w:r>
              <w:rPr>
                <w:b/>
              </w:rPr>
              <w:t xml:space="preserve">The current LMS is </w:t>
            </w:r>
            <w:r w:rsidR="0048007C">
              <w:rPr>
                <w:b/>
              </w:rPr>
              <w:t>an on premise installation of Desire2Learn</w:t>
            </w:r>
            <w:r w:rsidR="00EF32D9">
              <w:rPr>
                <w:b/>
              </w:rPr>
              <w:t>’s LMS software</w:t>
            </w:r>
            <w:r>
              <w:rPr>
                <w:b/>
              </w:rPr>
              <w:t>.</w:t>
            </w:r>
          </w:p>
        </w:tc>
      </w:tr>
      <w:tr w:rsidR="00092605" w14:paraId="6476A993" w14:textId="77777777" w:rsidTr="007B0929">
        <w:tc>
          <w:tcPr>
            <w:tcW w:w="625" w:type="dxa"/>
          </w:tcPr>
          <w:p w14:paraId="24B4EEFB" w14:textId="77777777" w:rsidR="00092605" w:rsidRPr="00246F51" w:rsidRDefault="00092605" w:rsidP="00092605">
            <w:pPr>
              <w:jc w:val="center"/>
            </w:pPr>
            <w:r w:rsidRPr="00246F51">
              <w:t>3</w:t>
            </w:r>
          </w:p>
        </w:tc>
        <w:tc>
          <w:tcPr>
            <w:tcW w:w="2430" w:type="dxa"/>
            <w:shd w:val="clear" w:color="auto" w:fill="E5DFEC" w:themeFill="accent4" w:themeFillTint="33"/>
          </w:tcPr>
          <w:p w14:paraId="4C40DEA3" w14:textId="77777777" w:rsidR="00092605" w:rsidRPr="006E30A1" w:rsidRDefault="00092605" w:rsidP="00092605">
            <w:pPr>
              <w:rPr>
                <w:rFonts w:eastAsia="Times New Roman"/>
              </w:rPr>
            </w:pPr>
            <w:r w:rsidRPr="006E30A1">
              <w:rPr>
                <w:rFonts w:eastAsia="Times New Roman"/>
              </w:rPr>
              <w:t>Per section 1.5 of the RFP, can you please confirm that if we have exceptions to the terms and conditions, we are able to include these in our Proposal?</w:t>
            </w:r>
          </w:p>
        </w:tc>
        <w:tc>
          <w:tcPr>
            <w:tcW w:w="7735" w:type="dxa"/>
            <w:shd w:val="clear" w:color="auto" w:fill="EAF1DD" w:themeFill="accent3" w:themeFillTint="33"/>
          </w:tcPr>
          <w:p w14:paraId="6FA9E9AE" w14:textId="77777777" w:rsidR="00092605" w:rsidRPr="00587E67" w:rsidRDefault="00501E31" w:rsidP="00DF2236">
            <w:pPr>
              <w:rPr>
                <w:b/>
              </w:rPr>
            </w:pPr>
            <w:r>
              <w:rPr>
                <w:b/>
              </w:rPr>
              <w:t>Confirmed. However, the University is not obligated to accept exception</w:t>
            </w:r>
            <w:r w:rsidR="00DF2236">
              <w:rPr>
                <w:b/>
              </w:rPr>
              <w:t>s</w:t>
            </w:r>
            <w:r>
              <w:rPr>
                <w:b/>
              </w:rPr>
              <w:t xml:space="preserve"> </w:t>
            </w:r>
            <w:r w:rsidR="00DF2236">
              <w:rPr>
                <w:b/>
              </w:rPr>
              <w:t>requested by proposers</w:t>
            </w:r>
            <w:r>
              <w:rPr>
                <w:b/>
              </w:rPr>
              <w:t xml:space="preserve">.  </w:t>
            </w:r>
            <w:r w:rsidR="00DF2236">
              <w:rPr>
                <w:b/>
              </w:rPr>
              <w:t>Proposers’</w:t>
            </w:r>
            <w:r>
              <w:rPr>
                <w:b/>
              </w:rPr>
              <w:t xml:space="preserve"> exceptions may cause </w:t>
            </w:r>
            <w:r w:rsidR="00DF2236">
              <w:rPr>
                <w:b/>
              </w:rPr>
              <w:t>the University</w:t>
            </w:r>
            <w:r>
              <w:rPr>
                <w:b/>
              </w:rPr>
              <w:t xml:space="preserve"> to reject </w:t>
            </w:r>
            <w:r w:rsidR="00DF2236">
              <w:rPr>
                <w:b/>
              </w:rPr>
              <w:t>the</w:t>
            </w:r>
            <w:r>
              <w:rPr>
                <w:b/>
              </w:rPr>
              <w:t xml:space="preserve"> proposal, or </w:t>
            </w:r>
            <w:r w:rsidR="00DF2236">
              <w:rPr>
                <w:b/>
              </w:rPr>
              <w:t>the University</w:t>
            </w:r>
            <w:r>
              <w:rPr>
                <w:b/>
              </w:rPr>
              <w:t xml:space="preserve"> may, at </w:t>
            </w:r>
            <w:r w:rsidR="00DF2236">
              <w:rPr>
                <w:b/>
              </w:rPr>
              <w:t>its</w:t>
            </w:r>
            <w:r>
              <w:rPr>
                <w:b/>
              </w:rPr>
              <w:t xml:space="preserve"> </w:t>
            </w:r>
            <w:r w:rsidR="00DF2236">
              <w:rPr>
                <w:b/>
              </w:rPr>
              <w:t>sole discretion</w:t>
            </w:r>
            <w:r>
              <w:rPr>
                <w:b/>
              </w:rPr>
              <w:t xml:space="preserve">, elect to agree to </w:t>
            </w:r>
            <w:r w:rsidR="00DF2236">
              <w:rPr>
                <w:b/>
              </w:rPr>
              <w:t xml:space="preserve">an exception </w:t>
            </w:r>
            <w:r>
              <w:rPr>
                <w:b/>
              </w:rPr>
              <w:t xml:space="preserve">or </w:t>
            </w:r>
            <w:r w:rsidR="00DF2236">
              <w:rPr>
                <w:b/>
              </w:rPr>
              <w:t xml:space="preserve">attempt to </w:t>
            </w:r>
            <w:r>
              <w:rPr>
                <w:b/>
              </w:rPr>
              <w:t xml:space="preserve">negotiate a mutually acceptable alternative. </w:t>
            </w:r>
          </w:p>
        </w:tc>
      </w:tr>
      <w:tr w:rsidR="00092605" w14:paraId="7E994060" w14:textId="77777777" w:rsidTr="007B0929">
        <w:tc>
          <w:tcPr>
            <w:tcW w:w="625" w:type="dxa"/>
            <w:shd w:val="clear" w:color="auto" w:fill="auto"/>
          </w:tcPr>
          <w:p w14:paraId="375465DD" w14:textId="77777777" w:rsidR="00092605" w:rsidRPr="00246F51" w:rsidRDefault="009D6B3B" w:rsidP="00092605">
            <w:pPr>
              <w:jc w:val="center"/>
            </w:pPr>
            <w:r w:rsidRPr="00246F51">
              <w:t>4</w:t>
            </w:r>
          </w:p>
        </w:tc>
        <w:tc>
          <w:tcPr>
            <w:tcW w:w="2430" w:type="dxa"/>
            <w:shd w:val="clear" w:color="auto" w:fill="E5DFEC" w:themeFill="accent4" w:themeFillTint="33"/>
          </w:tcPr>
          <w:p w14:paraId="3BD4939F" w14:textId="77777777" w:rsidR="00092605" w:rsidRPr="006E30A1" w:rsidRDefault="00092605" w:rsidP="00092605">
            <w:pPr>
              <w:rPr>
                <w:rFonts w:eastAsia="Times New Roman"/>
              </w:rPr>
            </w:pPr>
            <w:r w:rsidRPr="006E30A1">
              <w:rPr>
                <w:rFonts w:eastAsia="Times New Roman"/>
              </w:rPr>
              <w:t>7.1 Performance Audits:  We hold certifications including ISO 27001 and can provide SSAE 16 SOC I and II reports.  Would it be acceptable to provide these, and/or complete a questionnaire if necessary, in lieu of submitting to an audit?</w:t>
            </w:r>
          </w:p>
        </w:tc>
        <w:tc>
          <w:tcPr>
            <w:tcW w:w="7735" w:type="dxa"/>
            <w:shd w:val="clear" w:color="auto" w:fill="EAF1DD" w:themeFill="accent3" w:themeFillTint="33"/>
          </w:tcPr>
          <w:p w14:paraId="65300769" w14:textId="54877B03" w:rsidR="00092605" w:rsidRPr="00587E67" w:rsidRDefault="00355546" w:rsidP="00092605">
            <w:pPr>
              <w:rPr>
                <w:b/>
              </w:rPr>
            </w:pPr>
            <w:r>
              <w:rPr>
                <w:b/>
              </w:rPr>
              <w:t>Should we enter into negotiations with you, this can be discussed.</w:t>
            </w:r>
          </w:p>
        </w:tc>
      </w:tr>
      <w:tr w:rsidR="00092605" w14:paraId="1CA489EF" w14:textId="77777777" w:rsidTr="007B0929">
        <w:tc>
          <w:tcPr>
            <w:tcW w:w="625" w:type="dxa"/>
          </w:tcPr>
          <w:p w14:paraId="58479F08" w14:textId="77777777" w:rsidR="00092605" w:rsidRDefault="009D6B3B" w:rsidP="00092605">
            <w:pPr>
              <w:jc w:val="center"/>
            </w:pPr>
            <w:r>
              <w:t>5</w:t>
            </w:r>
          </w:p>
        </w:tc>
        <w:tc>
          <w:tcPr>
            <w:tcW w:w="2430" w:type="dxa"/>
            <w:shd w:val="clear" w:color="auto" w:fill="E5DFEC" w:themeFill="accent4" w:themeFillTint="33"/>
          </w:tcPr>
          <w:p w14:paraId="4EACCEFF" w14:textId="77777777" w:rsidR="00092605" w:rsidRPr="006E30A1" w:rsidRDefault="00092605" w:rsidP="00092605">
            <w:pPr>
              <w:rPr>
                <w:rFonts w:eastAsia="Times New Roman"/>
              </w:rPr>
            </w:pPr>
            <w:r w:rsidRPr="006E30A1">
              <w:rPr>
                <w:rFonts w:eastAsia="Times New Roman"/>
              </w:rPr>
              <w:t>7.2 Termination for Convenience:  Because we price our offering based on the expectation that the entire term be completed, can this requirement please be removed?</w:t>
            </w:r>
          </w:p>
        </w:tc>
        <w:tc>
          <w:tcPr>
            <w:tcW w:w="7735" w:type="dxa"/>
            <w:shd w:val="clear" w:color="auto" w:fill="EAF1DD" w:themeFill="accent3" w:themeFillTint="33"/>
          </w:tcPr>
          <w:p w14:paraId="568DE55A" w14:textId="77777777" w:rsidR="00092605" w:rsidRPr="00587E67" w:rsidRDefault="00526233" w:rsidP="00092605">
            <w:pPr>
              <w:rPr>
                <w:b/>
              </w:rPr>
            </w:pPr>
            <w:r>
              <w:rPr>
                <w:b/>
              </w:rPr>
              <w:t>Should we enter into negotiations with you, this can be discussed.</w:t>
            </w:r>
          </w:p>
        </w:tc>
      </w:tr>
      <w:tr w:rsidR="00092605" w14:paraId="16ECE03A" w14:textId="77777777" w:rsidTr="007B0929">
        <w:tc>
          <w:tcPr>
            <w:tcW w:w="625" w:type="dxa"/>
          </w:tcPr>
          <w:p w14:paraId="6F4C604D" w14:textId="77777777" w:rsidR="00092605" w:rsidRDefault="009D6B3B" w:rsidP="00092605">
            <w:pPr>
              <w:jc w:val="center"/>
            </w:pPr>
            <w:r>
              <w:t>6</w:t>
            </w:r>
          </w:p>
        </w:tc>
        <w:tc>
          <w:tcPr>
            <w:tcW w:w="2430" w:type="dxa"/>
            <w:shd w:val="clear" w:color="auto" w:fill="E5DFEC" w:themeFill="accent4" w:themeFillTint="33"/>
          </w:tcPr>
          <w:p w14:paraId="601758F1" w14:textId="77777777" w:rsidR="00092605" w:rsidRPr="006E30A1" w:rsidRDefault="00092605" w:rsidP="00092605">
            <w:pPr>
              <w:rPr>
                <w:rFonts w:eastAsia="Times New Roman"/>
              </w:rPr>
            </w:pPr>
            <w:r w:rsidRPr="006E30A1">
              <w:rPr>
                <w:rFonts w:eastAsia="Times New Roman"/>
              </w:rPr>
              <w:t>7.6 Executed Contract to Constitute Entire Agreement:  We would request that a negotiated, signed agreement would take priority over any other documents – would this be acceptable?</w:t>
            </w:r>
          </w:p>
        </w:tc>
        <w:tc>
          <w:tcPr>
            <w:tcW w:w="7735" w:type="dxa"/>
            <w:shd w:val="clear" w:color="auto" w:fill="EAF1DD" w:themeFill="accent3" w:themeFillTint="33"/>
          </w:tcPr>
          <w:p w14:paraId="7ABBEFD6" w14:textId="77777777" w:rsidR="00092605" w:rsidRPr="00587E67" w:rsidRDefault="00526233" w:rsidP="00092605">
            <w:pPr>
              <w:rPr>
                <w:b/>
              </w:rPr>
            </w:pPr>
            <w:r>
              <w:rPr>
                <w:b/>
              </w:rPr>
              <w:t>Should we enter into negotiations with you, this can be discussed.</w:t>
            </w:r>
          </w:p>
        </w:tc>
      </w:tr>
      <w:tr w:rsidR="00092605" w14:paraId="4D839605" w14:textId="77777777" w:rsidTr="007B0929">
        <w:tc>
          <w:tcPr>
            <w:tcW w:w="625" w:type="dxa"/>
          </w:tcPr>
          <w:p w14:paraId="1862D1BC" w14:textId="77777777" w:rsidR="00092605" w:rsidRDefault="009D6B3B" w:rsidP="00092605">
            <w:pPr>
              <w:jc w:val="center"/>
            </w:pPr>
            <w:r>
              <w:lastRenderedPageBreak/>
              <w:t>7</w:t>
            </w:r>
          </w:p>
        </w:tc>
        <w:tc>
          <w:tcPr>
            <w:tcW w:w="2430" w:type="dxa"/>
            <w:shd w:val="clear" w:color="auto" w:fill="E5DFEC" w:themeFill="accent4" w:themeFillTint="33"/>
          </w:tcPr>
          <w:p w14:paraId="2214E9C6" w14:textId="77777777" w:rsidR="00092605" w:rsidRPr="006E30A1" w:rsidRDefault="00092605" w:rsidP="00092605">
            <w:pPr>
              <w:rPr>
                <w:rFonts w:eastAsia="Times New Roman"/>
              </w:rPr>
            </w:pPr>
            <w:r w:rsidRPr="006E30A1">
              <w:rPr>
                <w:rFonts w:eastAsia="Times New Roman"/>
              </w:rPr>
              <w:t>Would you consider our standard services agreement as a basis for negotiation, if it includes the other documents referenced in this section 7.6?  Alternatively, would you consider leveraging an existing agreement?</w:t>
            </w:r>
          </w:p>
        </w:tc>
        <w:tc>
          <w:tcPr>
            <w:tcW w:w="7735" w:type="dxa"/>
            <w:shd w:val="clear" w:color="auto" w:fill="EAF1DD" w:themeFill="accent3" w:themeFillTint="33"/>
          </w:tcPr>
          <w:p w14:paraId="1759078E" w14:textId="77777777" w:rsidR="00092605" w:rsidRPr="00587E67" w:rsidRDefault="00526233" w:rsidP="00092605">
            <w:pPr>
              <w:rPr>
                <w:b/>
              </w:rPr>
            </w:pPr>
            <w:r>
              <w:rPr>
                <w:b/>
              </w:rPr>
              <w:t>Should we enter into negotiations with you, this can be discussed.</w:t>
            </w:r>
          </w:p>
        </w:tc>
      </w:tr>
      <w:tr w:rsidR="00092605" w14:paraId="2178635C" w14:textId="77777777" w:rsidTr="007B0929">
        <w:tc>
          <w:tcPr>
            <w:tcW w:w="625" w:type="dxa"/>
            <w:shd w:val="clear" w:color="auto" w:fill="auto"/>
          </w:tcPr>
          <w:p w14:paraId="4C1F29F0" w14:textId="77777777" w:rsidR="00092605" w:rsidRDefault="009D6B3B" w:rsidP="00092605">
            <w:pPr>
              <w:jc w:val="center"/>
            </w:pPr>
            <w:r>
              <w:t>8</w:t>
            </w:r>
          </w:p>
        </w:tc>
        <w:tc>
          <w:tcPr>
            <w:tcW w:w="2430" w:type="dxa"/>
            <w:shd w:val="clear" w:color="auto" w:fill="E5DFEC" w:themeFill="accent4" w:themeFillTint="33"/>
          </w:tcPr>
          <w:p w14:paraId="6298BA25" w14:textId="77777777" w:rsidR="00092605" w:rsidRPr="006E30A1" w:rsidRDefault="00092605" w:rsidP="00092605">
            <w:pPr>
              <w:rPr>
                <w:rFonts w:eastAsia="Times New Roman"/>
              </w:rPr>
            </w:pPr>
            <w:r w:rsidRPr="006E30A1">
              <w:rPr>
                <w:rFonts w:eastAsia="Times New Roman"/>
              </w:rPr>
              <w:t>For section 2.4 (page 7) what format are the demonstration videos to be created in?</w:t>
            </w:r>
          </w:p>
        </w:tc>
        <w:tc>
          <w:tcPr>
            <w:tcW w:w="7735" w:type="dxa"/>
            <w:shd w:val="clear" w:color="auto" w:fill="EAF1DD" w:themeFill="accent3" w:themeFillTint="33"/>
          </w:tcPr>
          <w:p w14:paraId="182A151B" w14:textId="799DA256" w:rsidR="00092605" w:rsidRPr="00587E67" w:rsidRDefault="000B4B27" w:rsidP="00092605">
            <w:pPr>
              <w:rPr>
                <w:b/>
              </w:rPr>
            </w:pPr>
            <w:r>
              <w:rPr>
                <w:b/>
              </w:rPr>
              <w:t>MP4.</w:t>
            </w:r>
          </w:p>
        </w:tc>
      </w:tr>
      <w:tr w:rsidR="00092605" w14:paraId="77BAC76C" w14:textId="77777777" w:rsidTr="007B0929">
        <w:tc>
          <w:tcPr>
            <w:tcW w:w="625" w:type="dxa"/>
          </w:tcPr>
          <w:p w14:paraId="22887CE4" w14:textId="77777777" w:rsidR="00092605" w:rsidRDefault="009D6B3B" w:rsidP="00092605">
            <w:pPr>
              <w:jc w:val="center"/>
            </w:pPr>
            <w:r>
              <w:t>9</w:t>
            </w:r>
          </w:p>
        </w:tc>
        <w:tc>
          <w:tcPr>
            <w:tcW w:w="2430" w:type="dxa"/>
            <w:shd w:val="clear" w:color="auto" w:fill="E5DFEC" w:themeFill="accent4" w:themeFillTint="33"/>
          </w:tcPr>
          <w:p w14:paraId="692C00B5" w14:textId="77777777" w:rsidR="00092605" w:rsidRPr="00754B86" w:rsidRDefault="00092605" w:rsidP="00092605">
            <w:pPr>
              <w:rPr>
                <w:rFonts w:eastAsia="Times New Roman"/>
              </w:rPr>
            </w:pPr>
            <w:r w:rsidRPr="00754B86">
              <w:rPr>
                <w:rFonts w:eastAsia="Times New Roman"/>
              </w:rPr>
              <w:t>For section 1.1.7 Scenario #5, is the student completing an online quiz assessment? Or just completing a quiz?</w:t>
            </w:r>
          </w:p>
        </w:tc>
        <w:tc>
          <w:tcPr>
            <w:tcW w:w="7735" w:type="dxa"/>
            <w:shd w:val="clear" w:color="auto" w:fill="EAF1DD" w:themeFill="accent3" w:themeFillTint="33"/>
          </w:tcPr>
          <w:p w14:paraId="5823FD57" w14:textId="399B1497" w:rsidR="00092605" w:rsidRPr="00587E67" w:rsidRDefault="00590FB2" w:rsidP="00092605">
            <w:pPr>
              <w:rPr>
                <w:b/>
              </w:rPr>
            </w:pPr>
            <w:r>
              <w:rPr>
                <w:b/>
              </w:rPr>
              <w:t>Assume it is an online quiz assignment</w:t>
            </w:r>
            <w:r w:rsidR="00BC4178">
              <w:rPr>
                <w:b/>
              </w:rPr>
              <w:t>.</w:t>
            </w:r>
          </w:p>
        </w:tc>
      </w:tr>
      <w:tr w:rsidR="00092605" w14:paraId="318521F0" w14:textId="77777777" w:rsidTr="007B0929">
        <w:tc>
          <w:tcPr>
            <w:tcW w:w="625" w:type="dxa"/>
          </w:tcPr>
          <w:p w14:paraId="53816BC0" w14:textId="77777777" w:rsidR="00092605" w:rsidRDefault="00092605" w:rsidP="009D6B3B">
            <w:pPr>
              <w:jc w:val="center"/>
            </w:pPr>
            <w:r>
              <w:t>1</w:t>
            </w:r>
            <w:r w:rsidR="009D6B3B">
              <w:t>0</w:t>
            </w:r>
          </w:p>
        </w:tc>
        <w:tc>
          <w:tcPr>
            <w:tcW w:w="2430" w:type="dxa"/>
            <w:shd w:val="clear" w:color="auto" w:fill="E5DFEC" w:themeFill="accent4" w:themeFillTint="33"/>
          </w:tcPr>
          <w:p w14:paraId="270F85C9" w14:textId="77777777" w:rsidR="00092605" w:rsidRPr="00754B86" w:rsidRDefault="00092605" w:rsidP="00092605">
            <w:pPr>
              <w:rPr>
                <w:rFonts w:eastAsia="Times New Roman"/>
              </w:rPr>
            </w:pPr>
            <w:r w:rsidRPr="00754B86">
              <w:rPr>
                <w:rFonts w:eastAsia="Times New Roman"/>
              </w:rPr>
              <w:t>For section 3.4 (page 10) The evaluation committee must award at least 60% of all available points for the functional, technical, and training elements prior to having the cost proposal scored.  A proposal that receives less than 60% of the available points on functional, technical, and training elements will be ineligible for further consideration. Please clarify, what is at "least 60% of all available points for the functional, technical, and training elements"  mean:</w:t>
            </w:r>
            <w:r w:rsidRPr="00754B86">
              <w:rPr>
                <w:rFonts w:eastAsia="Times New Roman"/>
              </w:rPr>
              <w:br/>
              <w:t>60% of the 70% (functional, technical, and training) , or 60% of the 80% / 100%?  In other words, what is the denominator referred to by the phrase: "all available points”.</w:t>
            </w:r>
          </w:p>
        </w:tc>
        <w:tc>
          <w:tcPr>
            <w:tcW w:w="7735" w:type="dxa"/>
            <w:shd w:val="clear" w:color="auto" w:fill="EAF1DD" w:themeFill="accent3" w:themeFillTint="33"/>
          </w:tcPr>
          <w:p w14:paraId="198C2C1D" w14:textId="77777777" w:rsidR="00092605" w:rsidRPr="00331B94" w:rsidRDefault="00A13784" w:rsidP="00092605">
            <w:pPr>
              <w:rPr>
                <w:b/>
              </w:rPr>
            </w:pPr>
            <w:r w:rsidRPr="00331B94">
              <w:rPr>
                <w:rFonts w:eastAsia="Times New Roman"/>
                <w:b/>
              </w:rPr>
              <w:t>60% of the 70%</w:t>
            </w:r>
          </w:p>
        </w:tc>
      </w:tr>
      <w:tr w:rsidR="00092605" w14:paraId="536C23D2" w14:textId="77777777" w:rsidTr="007B0929">
        <w:tc>
          <w:tcPr>
            <w:tcW w:w="625" w:type="dxa"/>
          </w:tcPr>
          <w:p w14:paraId="5B73C003" w14:textId="77777777" w:rsidR="00092605" w:rsidRDefault="00092605" w:rsidP="009D6B3B">
            <w:pPr>
              <w:jc w:val="center"/>
            </w:pPr>
            <w:r>
              <w:t>1</w:t>
            </w:r>
            <w:r w:rsidR="009D6B3B">
              <w:t>1</w:t>
            </w:r>
          </w:p>
        </w:tc>
        <w:tc>
          <w:tcPr>
            <w:tcW w:w="2430" w:type="dxa"/>
            <w:shd w:val="clear" w:color="auto" w:fill="E5DFEC" w:themeFill="accent4" w:themeFillTint="33"/>
          </w:tcPr>
          <w:p w14:paraId="029A2C67" w14:textId="77777777" w:rsidR="00092605" w:rsidRPr="00754B86" w:rsidRDefault="00092605" w:rsidP="00092605">
            <w:pPr>
              <w:rPr>
                <w:rFonts w:eastAsia="Times New Roman"/>
              </w:rPr>
            </w:pPr>
            <w:r w:rsidRPr="00092605">
              <w:rPr>
                <w:rFonts w:eastAsia="Times New Roman"/>
              </w:rPr>
              <w:t xml:space="preserve">What is the total student count and the </w:t>
            </w:r>
            <w:r w:rsidRPr="00092605">
              <w:rPr>
                <w:rFonts w:eastAsia="Times New Roman"/>
              </w:rPr>
              <w:lastRenderedPageBreak/>
              <w:t>Full Time Equivalent (FTE) student count that should be used for licensing purposes?</w:t>
            </w:r>
          </w:p>
        </w:tc>
        <w:tc>
          <w:tcPr>
            <w:tcW w:w="7735" w:type="dxa"/>
            <w:shd w:val="clear" w:color="auto" w:fill="EAF1DD" w:themeFill="accent3" w:themeFillTint="33"/>
          </w:tcPr>
          <w:p w14:paraId="6FA621D0" w14:textId="77777777" w:rsidR="00092605" w:rsidRPr="00587E67" w:rsidRDefault="00CF0EC3" w:rsidP="00092605">
            <w:pPr>
              <w:rPr>
                <w:b/>
              </w:rPr>
            </w:pPr>
            <w:r>
              <w:rPr>
                <w:b/>
              </w:rPr>
              <w:lastRenderedPageBreak/>
              <w:t>Please see #18 (below).</w:t>
            </w:r>
          </w:p>
        </w:tc>
      </w:tr>
      <w:tr w:rsidR="00DF743B" w14:paraId="2E3795E0" w14:textId="77777777" w:rsidTr="007B0929">
        <w:tc>
          <w:tcPr>
            <w:tcW w:w="625" w:type="dxa"/>
          </w:tcPr>
          <w:p w14:paraId="76A71869" w14:textId="77777777" w:rsidR="00DF743B" w:rsidRDefault="00DF743B" w:rsidP="009D6B3B">
            <w:pPr>
              <w:jc w:val="center"/>
            </w:pPr>
            <w:r>
              <w:lastRenderedPageBreak/>
              <w:t>12</w:t>
            </w:r>
          </w:p>
        </w:tc>
        <w:tc>
          <w:tcPr>
            <w:tcW w:w="2430" w:type="dxa"/>
            <w:shd w:val="clear" w:color="auto" w:fill="E5DFEC" w:themeFill="accent4" w:themeFillTint="33"/>
          </w:tcPr>
          <w:p w14:paraId="03606E48" w14:textId="77777777" w:rsidR="00DF743B" w:rsidRPr="00DF743B" w:rsidRDefault="00DF743B" w:rsidP="00DF743B">
            <w:pPr>
              <w:rPr>
                <w:rFonts w:eastAsia="Times New Roman"/>
              </w:rPr>
            </w:pPr>
            <w:r w:rsidRPr="00DF743B">
              <w:rPr>
                <w:rFonts w:eastAsia="Times New Roman"/>
              </w:rPr>
              <w:t>Page 3 - Section 1.2 (Scope of the project)</w:t>
            </w:r>
          </w:p>
          <w:p w14:paraId="257376A2" w14:textId="77777777" w:rsidR="00DF743B" w:rsidRPr="00DF743B" w:rsidRDefault="00DF743B" w:rsidP="00DF743B">
            <w:pPr>
              <w:rPr>
                <w:rFonts w:eastAsia="Times New Roman"/>
              </w:rPr>
            </w:pPr>
          </w:p>
          <w:p w14:paraId="599ADA59" w14:textId="77777777" w:rsidR="00DF743B" w:rsidRPr="00092605" w:rsidRDefault="00DF743B" w:rsidP="00DF743B">
            <w:pPr>
              <w:rPr>
                <w:rFonts w:eastAsia="Times New Roman"/>
              </w:rPr>
            </w:pPr>
            <w:r w:rsidRPr="00DF743B">
              <w:rPr>
                <w:rFonts w:eastAsia="Times New Roman"/>
              </w:rPr>
              <w:t>Since the awarded vendor's solution will be used by a central administrative unit and all campuses of the University of Wisconsin System except UW-Madison, would UW-Madison's current LMS selection be considered in the RFP selection process? If so, what is this LMS?</w:t>
            </w:r>
          </w:p>
        </w:tc>
        <w:tc>
          <w:tcPr>
            <w:tcW w:w="7735" w:type="dxa"/>
            <w:shd w:val="clear" w:color="auto" w:fill="EAF1DD" w:themeFill="accent3" w:themeFillTint="33"/>
          </w:tcPr>
          <w:p w14:paraId="24B77CB3" w14:textId="77777777" w:rsidR="00DF743B" w:rsidRPr="00587E67" w:rsidRDefault="00DF743B" w:rsidP="00092605">
            <w:pPr>
              <w:rPr>
                <w:b/>
              </w:rPr>
            </w:pPr>
            <w:r>
              <w:rPr>
                <w:b/>
              </w:rPr>
              <w:t>No.</w:t>
            </w:r>
          </w:p>
        </w:tc>
      </w:tr>
      <w:tr w:rsidR="00DF743B" w14:paraId="61F3EDCB" w14:textId="77777777" w:rsidTr="007B0929">
        <w:tc>
          <w:tcPr>
            <w:tcW w:w="625" w:type="dxa"/>
          </w:tcPr>
          <w:p w14:paraId="257D8AB8" w14:textId="77777777" w:rsidR="00DF743B" w:rsidRDefault="00645AE4" w:rsidP="009D6B3B">
            <w:pPr>
              <w:jc w:val="center"/>
            </w:pPr>
            <w:r>
              <w:t>13</w:t>
            </w:r>
          </w:p>
        </w:tc>
        <w:tc>
          <w:tcPr>
            <w:tcW w:w="2430" w:type="dxa"/>
            <w:shd w:val="clear" w:color="auto" w:fill="E5DFEC" w:themeFill="accent4" w:themeFillTint="33"/>
          </w:tcPr>
          <w:p w14:paraId="5C3F6E3D" w14:textId="77777777" w:rsidR="00DF743B" w:rsidRPr="00DF743B" w:rsidRDefault="00DF743B" w:rsidP="00DF743B">
            <w:pPr>
              <w:rPr>
                <w:rFonts w:eastAsia="Times New Roman"/>
              </w:rPr>
            </w:pPr>
            <w:r w:rsidRPr="00DF743B">
              <w:rPr>
                <w:rFonts w:eastAsia="Times New Roman"/>
              </w:rPr>
              <w:t>Page 12 - Section 4.1.3 (Mandatory Requirements)</w:t>
            </w:r>
          </w:p>
          <w:p w14:paraId="0874F93F" w14:textId="77777777" w:rsidR="00DF743B" w:rsidRPr="00DF743B" w:rsidRDefault="00DF743B" w:rsidP="00DF743B">
            <w:pPr>
              <w:rPr>
                <w:rFonts w:eastAsia="Times New Roman"/>
              </w:rPr>
            </w:pPr>
          </w:p>
          <w:p w14:paraId="0A8AAC9F" w14:textId="77777777" w:rsidR="00DF743B" w:rsidRPr="00DF743B" w:rsidRDefault="00DF743B" w:rsidP="00DF743B">
            <w:pPr>
              <w:rPr>
                <w:rFonts w:eastAsia="Times New Roman"/>
              </w:rPr>
            </w:pPr>
            <w:r w:rsidRPr="00DF743B">
              <w:rPr>
                <w:rFonts w:eastAsia="Times New Roman"/>
              </w:rPr>
              <w:t>In order to provide the full support options potentially required by UWS (requirement section, 1.2.3.3), may the vendor distribute parts of the support services to international locations? Would such support arrangement violate the requirement of performing the service in the United States clause (</w:t>
            </w:r>
            <w:proofErr w:type="spellStart"/>
            <w:r w:rsidRPr="00DF743B">
              <w:rPr>
                <w:rFonts w:eastAsia="Times New Roman"/>
              </w:rPr>
              <w:t>Wis</w:t>
            </w:r>
            <w:proofErr w:type="spellEnd"/>
            <w:r w:rsidRPr="00DF743B">
              <w:rPr>
                <w:rFonts w:eastAsia="Times New Roman"/>
              </w:rPr>
              <w:t xml:space="preserve"> Stats 16.705 (1r)?</w:t>
            </w:r>
          </w:p>
        </w:tc>
        <w:tc>
          <w:tcPr>
            <w:tcW w:w="7735" w:type="dxa"/>
            <w:shd w:val="clear" w:color="auto" w:fill="EAF1DD" w:themeFill="accent3" w:themeFillTint="33"/>
          </w:tcPr>
          <w:p w14:paraId="050D1539" w14:textId="4AED1532" w:rsidR="00DF743B" w:rsidRDefault="00DF743B" w:rsidP="00B3060D">
            <w:pPr>
              <w:rPr>
                <w:b/>
              </w:rPr>
            </w:pPr>
            <w:r>
              <w:rPr>
                <w:b/>
              </w:rPr>
              <w:t>Possibly</w:t>
            </w:r>
            <w:r w:rsidR="004D5CF2">
              <w:rPr>
                <w:b/>
              </w:rPr>
              <w:t xml:space="preserve">. </w:t>
            </w:r>
            <w:r w:rsidR="004D5CF2" w:rsidRPr="004D5CF2">
              <w:rPr>
                <w:b/>
              </w:rPr>
              <w:t>Generally, where primary services are performed in the United States, incidental support services will be evaluated on the totality of the proposal as a whole.</w:t>
            </w:r>
            <w:r w:rsidR="00716C04">
              <w:rPr>
                <w:b/>
              </w:rPr>
              <w:t xml:space="preserve"> </w:t>
            </w:r>
            <w:r w:rsidR="004B2A22">
              <w:rPr>
                <w:b/>
              </w:rPr>
              <w:t>The University</w:t>
            </w:r>
            <w:r w:rsidR="00716C04">
              <w:rPr>
                <w:b/>
              </w:rPr>
              <w:t xml:space="preserve"> would seek a legal opinion regarding a particular proposal</w:t>
            </w:r>
            <w:r w:rsidR="002430D0">
              <w:rPr>
                <w:b/>
              </w:rPr>
              <w:t xml:space="preserve"> of this sort</w:t>
            </w:r>
            <w:r w:rsidR="00716C04">
              <w:rPr>
                <w:b/>
              </w:rPr>
              <w:t xml:space="preserve"> </w:t>
            </w:r>
            <w:r w:rsidR="00B3060D">
              <w:rPr>
                <w:b/>
              </w:rPr>
              <w:t>if needed</w:t>
            </w:r>
            <w:r w:rsidR="00716C04">
              <w:rPr>
                <w:b/>
              </w:rPr>
              <w:t>.</w:t>
            </w:r>
          </w:p>
        </w:tc>
      </w:tr>
      <w:tr w:rsidR="00B738B3" w14:paraId="0A3921B3" w14:textId="77777777" w:rsidTr="007B0929">
        <w:tc>
          <w:tcPr>
            <w:tcW w:w="625" w:type="dxa"/>
            <w:shd w:val="clear" w:color="auto" w:fill="auto"/>
          </w:tcPr>
          <w:p w14:paraId="65F66687" w14:textId="77777777" w:rsidR="00B738B3" w:rsidRDefault="00B738B3" w:rsidP="009D6B3B">
            <w:pPr>
              <w:jc w:val="center"/>
            </w:pPr>
            <w:r>
              <w:t>14</w:t>
            </w:r>
          </w:p>
        </w:tc>
        <w:tc>
          <w:tcPr>
            <w:tcW w:w="2430" w:type="dxa"/>
            <w:shd w:val="clear" w:color="auto" w:fill="E5DFEC" w:themeFill="accent4" w:themeFillTint="33"/>
          </w:tcPr>
          <w:p w14:paraId="38C82475" w14:textId="77777777" w:rsidR="00B738B3" w:rsidRPr="00B738B3" w:rsidRDefault="00B738B3" w:rsidP="00B738B3">
            <w:pPr>
              <w:rPr>
                <w:rFonts w:eastAsia="Times New Roman"/>
              </w:rPr>
            </w:pPr>
            <w:r w:rsidRPr="00B738B3">
              <w:rPr>
                <w:rFonts w:eastAsia="Times New Roman"/>
              </w:rPr>
              <w:t>Page 14 - Section 1.1.3 (Requirement Section - Scenario #1)</w:t>
            </w:r>
          </w:p>
          <w:p w14:paraId="712B670E" w14:textId="77777777" w:rsidR="00B738B3" w:rsidRPr="00B738B3" w:rsidRDefault="00B738B3" w:rsidP="00B738B3">
            <w:pPr>
              <w:rPr>
                <w:rFonts w:eastAsia="Times New Roman"/>
              </w:rPr>
            </w:pPr>
          </w:p>
          <w:p w14:paraId="291D7A06" w14:textId="77777777" w:rsidR="00B738B3" w:rsidRPr="00DF743B" w:rsidRDefault="00B738B3" w:rsidP="00B738B3">
            <w:pPr>
              <w:rPr>
                <w:rFonts w:eastAsia="Times New Roman"/>
              </w:rPr>
            </w:pPr>
            <w:r w:rsidRPr="00B738B3">
              <w:rPr>
                <w:rFonts w:eastAsia="Times New Roman"/>
              </w:rPr>
              <w:t xml:space="preserve">In order to support the course replication and modification process, will a separate authoring environment (which includes its own workflow management for faculty, librarian, instruction designer and administrator, and its </w:t>
            </w:r>
            <w:r w:rsidRPr="00B738B3">
              <w:rPr>
                <w:rFonts w:eastAsia="Times New Roman"/>
              </w:rPr>
              <w:lastRenderedPageBreak/>
              <w:t>own Learning Object Repository (LOR), and which is accessible but separate from the LMS core) be considered as part of an overall viable solution to support this scenario?</w:t>
            </w:r>
          </w:p>
        </w:tc>
        <w:tc>
          <w:tcPr>
            <w:tcW w:w="7735" w:type="dxa"/>
            <w:shd w:val="clear" w:color="auto" w:fill="EAF1DD" w:themeFill="accent3" w:themeFillTint="33"/>
          </w:tcPr>
          <w:p w14:paraId="6ADF0E6B" w14:textId="04FEB4AB" w:rsidR="00B738B3" w:rsidRDefault="00FA6C7E" w:rsidP="00DF743B">
            <w:pPr>
              <w:rPr>
                <w:b/>
              </w:rPr>
            </w:pPr>
            <w:r>
              <w:rPr>
                <w:b/>
              </w:rPr>
              <w:lastRenderedPageBreak/>
              <w:t>Vendor should propose the best solution to meet the needs of UWS.</w:t>
            </w:r>
          </w:p>
        </w:tc>
      </w:tr>
      <w:tr w:rsidR="0027042A" w14:paraId="139D1C26" w14:textId="77777777" w:rsidTr="007B0929">
        <w:tc>
          <w:tcPr>
            <w:tcW w:w="625" w:type="dxa"/>
            <w:shd w:val="clear" w:color="auto" w:fill="auto"/>
          </w:tcPr>
          <w:p w14:paraId="4CCE8932" w14:textId="77777777" w:rsidR="0027042A" w:rsidRPr="00283884" w:rsidRDefault="0027042A" w:rsidP="0027042A">
            <w:pPr>
              <w:jc w:val="center"/>
            </w:pPr>
            <w:r w:rsidRPr="00283884">
              <w:lastRenderedPageBreak/>
              <w:t>15</w:t>
            </w:r>
          </w:p>
        </w:tc>
        <w:tc>
          <w:tcPr>
            <w:tcW w:w="2430" w:type="dxa"/>
            <w:shd w:val="clear" w:color="auto" w:fill="E5DFEC" w:themeFill="accent4" w:themeFillTint="33"/>
            <w:vAlign w:val="center"/>
          </w:tcPr>
          <w:p w14:paraId="2A7233B5" w14:textId="77777777" w:rsidR="0027042A" w:rsidRPr="0027042A" w:rsidRDefault="0027042A" w:rsidP="0027042A">
            <w:pPr>
              <w:rPr>
                <w:rFonts w:eastAsia="Times New Roman"/>
              </w:rPr>
            </w:pPr>
            <w:r w:rsidRPr="0027042A">
              <w:rPr>
                <w:rFonts w:eastAsia="Times New Roman"/>
              </w:rPr>
              <w:t>Page 17 - Section 1.2.3 (Requirements Section - Availability)</w:t>
            </w:r>
          </w:p>
          <w:p w14:paraId="7A3679D9" w14:textId="77777777" w:rsidR="0027042A" w:rsidRPr="0027042A" w:rsidRDefault="0027042A" w:rsidP="0027042A">
            <w:pPr>
              <w:rPr>
                <w:rFonts w:eastAsia="Times New Roman"/>
              </w:rPr>
            </w:pPr>
          </w:p>
          <w:p w14:paraId="16ED6488" w14:textId="77777777" w:rsidR="0027042A" w:rsidRPr="0027042A" w:rsidRDefault="0027042A" w:rsidP="0027042A">
            <w:pPr>
              <w:rPr>
                <w:rFonts w:eastAsia="Times New Roman"/>
              </w:rPr>
            </w:pPr>
            <w:r w:rsidRPr="0027042A">
              <w:rPr>
                <w:rFonts w:eastAsia="Times New Roman"/>
              </w:rPr>
              <w:t xml:space="preserve">For question 1.2.3.1., does the historical data about incidents/downtime or service degradation apply to any non-cloud parts of the system? Will UWS consider any </w:t>
            </w:r>
            <w:proofErr w:type="spellStart"/>
            <w:r w:rsidRPr="0027042A">
              <w:rPr>
                <w:rFonts w:eastAsia="Times New Roman"/>
              </w:rPr>
              <w:t>on-premise</w:t>
            </w:r>
            <w:proofErr w:type="spellEnd"/>
            <w:r w:rsidRPr="0027042A">
              <w:rPr>
                <w:rFonts w:eastAsia="Times New Roman"/>
              </w:rPr>
              <w:t xml:space="preserve"> solution, especially for the hub portion of the digital learning environment?</w:t>
            </w:r>
          </w:p>
        </w:tc>
        <w:tc>
          <w:tcPr>
            <w:tcW w:w="7735" w:type="dxa"/>
            <w:shd w:val="clear" w:color="auto" w:fill="EAF1DD" w:themeFill="accent3" w:themeFillTint="33"/>
          </w:tcPr>
          <w:p w14:paraId="2C36820F" w14:textId="77777777" w:rsidR="0027042A" w:rsidRDefault="00434059" w:rsidP="0027042A">
            <w:pPr>
              <w:rPr>
                <w:b/>
              </w:rPr>
            </w:pPr>
            <w:r>
              <w:rPr>
                <w:b/>
              </w:rPr>
              <w:t>Yes, the historical data applies to all components of the solution whether cloud or non-cloud based.</w:t>
            </w:r>
          </w:p>
          <w:p w14:paraId="42284C52" w14:textId="77777777" w:rsidR="00434059" w:rsidRDefault="00434059" w:rsidP="0027042A">
            <w:pPr>
              <w:rPr>
                <w:b/>
              </w:rPr>
            </w:pPr>
          </w:p>
          <w:p w14:paraId="1F04BB96" w14:textId="77777777" w:rsidR="00434059" w:rsidRDefault="00A22827" w:rsidP="00A22827">
            <w:pPr>
              <w:rPr>
                <w:b/>
              </w:rPr>
            </w:pPr>
            <w:r>
              <w:rPr>
                <w:b/>
              </w:rPr>
              <w:t>The University prefers a cloud based solution; however, it will consider solutions proposed including cloud, on premise or a combination.</w:t>
            </w:r>
          </w:p>
        </w:tc>
      </w:tr>
      <w:tr w:rsidR="0027042A" w14:paraId="0EEE84A9" w14:textId="77777777" w:rsidTr="007B0929">
        <w:tc>
          <w:tcPr>
            <w:tcW w:w="625" w:type="dxa"/>
            <w:shd w:val="clear" w:color="auto" w:fill="auto"/>
          </w:tcPr>
          <w:p w14:paraId="0D4D8931" w14:textId="77777777" w:rsidR="0027042A" w:rsidRDefault="0027042A" w:rsidP="0027042A">
            <w:pPr>
              <w:jc w:val="center"/>
            </w:pPr>
            <w:r>
              <w:t>16</w:t>
            </w:r>
          </w:p>
        </w:tc>
        <w:tc>
          <w:tcPr>
            <w:tcW w:w="2430" w:type="dxa"/>
            <w:shd w:val="clear" w:color="auto" w:fill="E5DFEC" w:themeFill="accent4" w:themeFillTint="33"/>
            <w:vAlign w:val="center"/>
          </w:tcPr>
          <w:p w14:paraId="7294D6CB" w14:textId="77777777" w:rsidR="0027042A" w:rsidRPr="0027042A" w:rsidRDefault="0027042A" w:rsidP="0027042A">
            <w:pPr>
              <w:rPr>
                <w:rFonts w:eastAsia="Times New Roman"/>
              </w:rPr>
            </w:pPr>
            <w:r w:rsidRPr="0027042A">
              <w:rPr>
                <w:rFonts w:eastAsia="Times New Roman"/>
              </w:rPr>
              <w:t>Page 22 - Section 1.2.9 (System Integration)</w:t>
            </w:r>
          </w:p>
          <w:p w14:paraId="53011A36" w14:textId="77777777" w:rsidR="0027042A" w:rsidRPr="0027042A" w:rsidRDefault="0027042A" w:rsidP="0027042A">
            <w:pPr>
              <w:rPr>
                <w:rFonts w:eastAsia="Times New Roman"/>
              </w:rPr>
            </w:pPr>
          </w:p>
          <w:p w14:paraId="6C577C2E" w14:textId="77777777" w:rsidR="0027042A" w:rsidRPr="0027042A" w:rsidRDefault="0027042A" w:rsidP="0027042A">
            <w:pPr>
              <w:rPr>
                <w:rFonts w:eastAsia="Times New Roman"/>
              </w:rPr>
            </w:pPr>
            <w:r w:rsidRPr="0027042A">
              <w:rPr>
                <w:rFonts w:eastAsia="Times New Roman"/>
              </w:rPr>
              <w:t>1.2.9.2 - Is the SIS used by UW restricted to Oracle/</w:t>
            </w:r>
            <w:proofErr w:type="spellStart"/>
            <w:r w:rsidRPr="0027042A">
              <w:rPr>
                <w:rFonts w:eastAsia="Times New Roman"/>
              </w:rPr>
              <w:t>Peoplesoft</w:t>
            </w:r>
            <w:proofErr w:type="spellEnd"/>
            <w:r w:rsidRPr="0027042A">
              <w:rPr>
                <w:rFonts w:eastAsia="Times New Roman"/>
              </w:rPr>
              <w:t xml:space="preserve"> Campus Solutions? If yes, what is the minimum version release for these SIS systems?</w:t>
            </w:r>
          </w:p>
        </w:tc>
        <w:tc>
          <w:tcPr>
            <w:tcW w:w="7735" w:type="dxa"/>
            <w:shd w:val="clear" w:color="auto" w:fill="EAF1DD" w:themeFill="accent3" w:themeFillTint="33"/>
          </w:tcPr>
          <w:p w14:paraId="317BA5FC" w14:textId="77777777" w:rsidR="0027042A" w:rsidRDefault="00434059" w:rsidP="0027042A">
            <w:pPr>
              <w:rPr>
                <w:b/>
              </w:rPr>
            </w:pPr>
            <w:r>
              <w:rPr>
                <w:b/>
              </w:rPr>
              <w:t xml:space="preserve">No. The University also uses </w:t>
            </w:r>
            <w:proofErr w:type="spellStart"/>
            <w:r>
              <w:rPr>
                <w:b/>
              </w:rPr>
              <w:t>SalesForce</w:t>
            </w:r>
            <w:proofErr w:type="spellEnd"/>
            <w:r>
              <w:rPr>
                <w:b/>
              </w:rPr>
              <w:t>.</w:t>
            </w:r>
          </w:p>
          <w:p w14:paraId="6F9B8504" w14:textId="77777777" w:rsidR="00ED7FEE" w:rsidRDefault="00ED7FEE" w:rsidP="0027042A">
            <w:pPr>
              <w:rPr>
                <w:b/>
              </w:rPr>
            </w:pPr>
          </w:p>
          <w:p w14:paraId="7343E67F" w14:textId="3CFBBCC8" w:rsidR="00ED7FEE" w:rsidRDefault="00ED7FEE" w:rsidP="0027042A">
            <w:pPr>
              <w:rPr>
                <w:b/>
              </w:rPr>
            </w:pPr>
            <w:r>
              <w:rPr>
                <w:b/>
              </w:rPr>
              <w:t xml:space="preserve">It should be expected that the majority of UW institutions will be using Oracle/PeopleSoft Campus Solutions 9.x </w:t>
            </w:r>
            <w:r w:rsidR="00FA6C7E">
              <w:rPr>
                <w:b/>
              </w:rPr>
              <w:t xml:space="preserve">(version varies by campus) </w:t>
            </w:r>
            <w:r>
              <w:rPr>
                <w:b/>
              </w:rPr>
              <w:t>at the time of a potential im</w:t>
            </w:r>
            <w:r w:rsidRPr="00FA6C7E">
              <w:rPr>
                <w:b/>
              </w:rPr>
              <w:t>plementation.</w:t>
            </w:r>
            <w:r w:rsidR="00FA6C7E" w:rsidRPr="00FA6C7E">
              <w:rPr>
                <w:b/>
              </w:rPr>
              <w:t xml:space="preserve">  PeopleSoft Tools and Bundle versions also vary by campus. </w:t>
            </w:r>
          </w:p>
        </w:tc>
      </w:tr>
      <w:tr w:rsidR="0027042A" w14:paraId="4257259A" w14:textId="77777777" w:rsidTr="007B0929">
        <w:tc>
          <w:tcPr>
            <w:tcW w:w="625" w:type="dxa"/>
            <w:shd w:val="clear" w:color="auto" w:fill="auto"/>
          </w:tcPr>
          <w:p w14:paraId="6F63F7DF" w14:textId="77777777" w:rsidR="0027042A" w:rsidRDefault="0027042A" w:rsidP="0027042A">
            <w:pPr>
              <w:jc w:val="center"/>
            </w:pPr>
            <w:r>
              <w:t>17</w:t>
            </w:r>
          </w:p>
        </w:tc>
        <w:tc>
          <w:tcPr>
            <w:tcW w:w="2430" w:type="dxa"/>
            <w:shd w:val="clear" w:color="auto" w:fill="E5DFEC" w:themeFill="accent4" w:themeFillTint="33"/>
            <w:vAlign w:val="center"/>
          </w:tcPr>
          <w:p w14:paraId="692913DB" w14:textId="77777777" w:rsidR="0027042A" w:rsidRPr="0027042A" w:rsidRDefault="0027042A" w:rsidP="0027042A">
            <w:pPr>
              <w:rPr>
                <w:rFonts w:eastAsia="Times New Roman"/>
              </w:rPr>
            </w:pPr>
            <w:r w:rsidRPr="0027042A">
              <w:rPr>
                <w:rFonts w:eastAsia="Times New Roman"/>
              </w:rPr>
              <w:t>Page 25 - Section 1.2.14 (User Management)</w:t>
            </w:r>
          </w:p>
          <w:p w14:paraId="67EB9D7C" w14:textId="77777777" w:rsidR="0027042A" w:rsidRPr="0027042A" w:rsidRDefault="0027042A" w:rsidP="0027042A">
            <w:pPr>
              <w:rPr>
                <w:rFonts w:eastAsia="Times New Roman"/>
              </w:rPr>
            </w:pPr>
          </w:p>
          <w:p w14:paraId="55059196" w14:textId="77777777" w:rsidR="0027042A" w:rsidRPr="0027042A" w:rsidRDefault="0027042A" w:rsidP="0027042A">
            <w:pPr>
              <w:rPr>
                <w:rFonts w:eastAsia="Times New Roman"/>
              </w:rPr>
            </w:pPr>
            <w:r w:rsidRPr="0027042A">
              <w:rPr>
                <w:rFonts w:eastAsia="Times New Roman"/>
              </w:rPr>
              <w:t>If the learning environment needs to support guest users outside of the UW SIS/HR/SEG systems, what would the integration source be? Can the vendor assume such users are already provisioned and registered on the campus-wide directory systems before the services are rendered?</w:t>
            </w:r>
          </w:p>
        </w:tc>
        <w:tc>
          <w:tcPr>
            <w:tcW w:w="7735" w:type="dxa"/>
            <w:shd w:val="clear" w:color="auto" w:fill="EAF1DD" w:themeFill="accent3" w:themeFillTint="33"/>
          </w:tcPr>
          <w:p w14:paraId="51AF04C7" w14:textId="5EB45875" w:rsidR="0027042A" w:rsidRDefault="005A7CB5" w:rsidP="00F12E30">
            <w:pPr>
              <w:rPr>
                <w:b/>
              </w:rPr>
            </w:pPr>
            <w:r>
              <w:rPr>
                <w:b/>
              </w:rPr>
              <w:t>Yes, t</w:t>
            </w:r>
            <w:r w:rsidR="00434059">
              <w:rPr>
                <w:b/>
              </w:rPr>
              <w:t>he University anticipate</w:t>
            </w:r>
            <w:r>
              <w:rPr>
                <w:b/>
              </w:rPr>
              <w:t>s</w:t>
            </w:r>
            <w:r w:rsidR="00434059">
              <w:rPr>
                <w:b/>
              </w:rPr>
              <w:t xml:space="preserve"> the use of the le</w:t>
            </w:r>
            <w:r>
              <w:rPr>
                <w:b/>
              </w:rPr>
              <w:t xml:space="preserve">arning management system by </w:t>
            </w:r>
            <w:r w:rsidR="00434059">
              <w:rPr>
                <w:b/>
              </w:rPr>
              <w:t>“Guests” outside of the UW System</w:t>
            </w:r>
            <w:r>
              <w:rPr>
                <w:b/>
              </w:rPr>
              <w:t xml:space="preserve"> (e.g., guest speaker,” “industry project/assignment reviewer,” “outside content expert,” etc.  </w:t>
            </w:r>
            <w:r w:rsidR="00F12E30">
              <w:rPr>
                <w:b/>
              </w:rPr>
              <w:t>Proposer</w:t>
            </w:r>
            <w:r>
              <w:rPr>
                <w:b/>
              </w:rPr>
              <w:t xml:space="preserve"> should detail how the guest could be given access to the solution if the guest does not have a UW System account.  The vendor should not assume such users are already provisioned by UW System in some way prior to services being rendered.</w:t>
            </w:r>
          </w:p>
        </w:tc>
      </w:tr>
      <w:tr w:rsidR="0095401C" w:rsidRPr="0095401C" w14:paraId="661FCA20" w14:textId="77777777" w:rsidTr="007B0929">
        <w:tc>
          <w:tcPr>
            <w:tcW w:w="625" w:type="dxa"/>
          </w:tcPr>
          <w:p w14:paraId="244A6096" w14:textId="77777777" w:rsidR="0095401C" w:rsidRDefault="0095401C" w:rsidP="0027042A">
            <w:pPr>
              <w:jc w:val="center"/>
            </w:pPr>
            <w:r>
              <w:lastRenderedPageBreak/>
              <w:t>18</w:t>
            </w:r>
          </w:p>
        </w:tc>
        <w:tc>
          <w:tcPr>
            <w:tcW w:w="2430" w:type="dxa"/>
            <w:shd w:val="clear" w:color="auto" w:fill="E5DFEC" w:themeFill="accent4" w:themeFillTint="33"/>
            <w:vAlign w:val="center"/>
          </w:tcPr>
          <w:p w14:paraId="54681396" w14:textId="77777777" w:rsidR="0095401C" w:rsidRDefault="0095401C" w:rsidP="0095401C">
            <w:r>
              <w:t xml:space="preserve">In Section 1.2, Scope of the project, the RFP states: "The results of this RFP will be used by a </w:t>
            </w:r>
            <w:r w:rsidRPr="0095401C">
              <w:rPr>
                <w:rFonts w:eastAsia="Times New Roman"/>
              </w:rPr>
              <w:t>central</w:t>
            </w:r>
            <w:r>
              <w:t xml:space="preserve"> administrative unit and all campuses of the University of Wisconsin System except UW-Madison."</w:t>
            </w:r>
          </w:p>
          <w:p w14:paraId="37C44B11" w14:textId="77777777" w:rsidR="0095401C" w:rsidRDefault="0095401C" w:rsidP="0095401C"/>
          <w:p w14:paraId="0080A266" w14:textId="77777777" w:rsidR="0095401C" w:rsidRDefault="0095401C" w:rsidP="0095401C">
            <w:r>
              <w:t>Question: Can UWS provide the full-time equivalent (FTE) count for the central administration unit and the UWS campuses, as identified in Appendi</w:t>
            </w:r>
            <w:r w:rsidR="00A02BD6">
              <w:t>x</w:t>
            </w:r>
            <w:r>
              <w:t xml:space="preserve"> A, that will be using the DLE?</w:t>
            </w:r>
          </w:p>
          <w:p w14:paraId="61E2C0A6" w14:textId="77777777" w:rsidR="0095401C" w:rsidRPr="0027042A" w:rsidRDefault="0095401C" w:rsidP="0027042A">
            <w:pPr>
              <w:rPr>
                <w:rFonts w:eastAsia="Times New Roman"/>
              </w:rPr>
            </w:pPr>
          </w:p>
        </w:tc>
        <w:tc>
          <w:tcPr>
            <w:tcW w:w="7735" w:type="dxa"/>
            <w:shd w:val="clear" w:color="auto" w:fill="EAF1DD" w:themeFill="accent3" w:themeFillTint="33"/>
          </w:tcPr>
          <w:p w14:paraId="530596D7" w14:textId="77777777" w:rsidR="00A7492E" w:rsidRDefault="00A7492E">
            <w:r w:rsidRPr="00A7492E">
              <w:rPr>
                <w:b/>
              </w:rPr>
              <w:t>The University of Wisconsin’s Fall, 2015 IPEDS metrics are below.  Fall, 2016 IPEDS metrics</w:t>
            </w:r>
            <w:r w:rsidR="00CC08BB">
              <w:rPr>
                <w:b/>
              </w:rPr>
              <w:t xml:space="preserve"> are not yet available</w:t>
            </w:r>
            <w:r w:rsidRPr="00A7492E">
              <w:rPr>
                <w:b/>
              </w:rPr>
              <w:t>.</w:t>
            </w:r>
          </w:p>
          <w:p w14:paraId="1878A90C" w14:textId="77777777" w:rsidR="00A7492E" w:rsidRDefault="00A7492E"/>
          <w:tbl>
            <w:tblPr>
              <w:tblW w:w="6800" w:type="dxa"/>
              <w:tblLayout w:type="fixed"/>
              <w:tblLook w:val="04A0" w:firstRow="1" w:lastRow="0" w:firstColumn="1" w:lastColumn="0" w:noHBand="0" w:noVBand="1"/>
            </w:tblPr>
            <w:tblGrid>
              <w:gridCol w:w="2380"/>
              <w:gridCol w:w="1600"/>
              <w:gridCol w:w="1480"/>
              <w:gridCol w:w="1340"/>
            </w:tblGrid>
            <w:tr w:rsidR="00A7492E" w:rsidRPr="00A7492E" w14:paraId="7C75CD40" w14:textId="77777777" w:rsidTr="004D5CF2">
              <w:trPr>
                <w:trHeight w:val="255"/>
              </w:trPr>
              <w:tc>
                <w:tcPr>
                  <w:tcW w:w="6800" w:type="dxa"/>
                  <w:gridSpan w:val="4"/>
                  <w:tcBorders>
                    <w:top w:val="nil"/>
                    <w:left w:val="nil"/>
                    <w:bottom w:val="nil"/>
                    <w:right w:val="nil"/>
                  </w:tcBorders>
                  <w:shd w:val="clear" w:color="auto" w:fill="auto"/>
                  <w:hideMark/>
                </w:tcPr>
                <w:p w14:paraId="67F9FD42" w14:textId="77777777" w:rsidR="00A7492E" w:rsidRPr="00A7492E" w:rsidRDefault="00A7492E" w:rsidP="00A7492E">
                  <w:pPr>
                    <w:spacing w:after="0" w:line="240" w:lineRule="auto"/>
                    <w:jc w:val="center"/>
                    <w:rPr>
                      <w:rFonts w:ascii="Arial" w:eastAsia="Times New Roman" w:hAnsi="Arial" w:cs="Arial"/>
                      <w:color w:val="000000"/>
                      <w:sz w:val="20"/>
                      <w:szCs w:val="20"/>
                    </w:rPr>
                  </w:pPr>
                  <w:r w:rsidRPr="00A7492E">
                    <w:rPr>
                      <w:rFonts w:ascii="Arial" w:eastAsia="Times New Roman" w:hAnsi="Arial" w:cs="Arial"/>
                      <w:color w:val="000000"/>
                      <w:sz w:val="20"/>
                      <w:szCs w:val="20"/>
                    </w:rPr>
                    <w:t>University of Wisconsin System</w:t>
                  </w:r>
                </w:p>
              </w:tc>
            </w:tr>
            <w:tr w:rsidR="00A7492E" w:rsidRPr="00A7492E" w14:paraId="706605F4" w14:textId="77777777" w:rsidTr="004D5CF2">
              <w:trPr>
                <w:trHeight w:val="255"/>
              </w:trPr>
              <w:tc>
                <w:tcPr>
                  <w:tcW w:w="6800" w:type="dxa"/>
                  <w:gridSpan w:val="4"/>
                  <w:tcBorders>
                    <w:top w:val="nil"/>
                    <w:left w:val="nil"/>
                    <w:bottom w:val="nil"/>
                    <w:right w:val="nil"/>
                  </w:tcBorders>
                  <w:shd w:val="clear" w:color="auto" w:fill="auto"/>
                  <w:hideMark/>
                </w:tcPr>
                <w:p w14:paraId="4E500F41" w14:textId="77777777" w:rsidR="00A7492E" w:rsidRPr="00A7492E" w:rsidRDefault="00A7492E" w:rsidP="00A7492E">
                  <w:pPr>
                    <w:spacing w:after="0" w:line="240" w:lineRule="auto"/>
                    <w:jc w:val="center"/>
                    <w:rPr>
                      <w:rFonts w:ascii="Arial" w:eastAsia="Times New Roman" w:hAnsi="Arial" w:cs="Arial"/>
                      <w:color w:val="000000"/>
                      <w:sz w:val="20"/>
                      <w:szCs w:val="20"/>
                    </w:rPr>
                  </w:pPr>
                  <w:r w:rsidRPr="00A7492E">
                    <w:rPr>
                      <w:rFonts w:ascii="Arial" w:eastAsia="Times New Roman" w:hAnsi="Arial" w:cs="Arial"/>
                      <w:color w:val="000000"/>
                      <w:sz w:val="20"/>
                      <w:szCs w:val="20"/>
                    </w:rPr>
                    <w:t xml:space="preserve">IPEDS </w:t>
                  </w:r>
                  <w:r w:rsidRPr="00A7492E">
                    <w:rPr>
                      <w:rFonts w:ascii="Arial" w:eastAsia="Times New Roman" w:hAnsi="Arial" w:cs="Arial"/>
                      <w:b/>
                      <w:color w:val="000000"/>
                      <w:sz w:val="20"/>
                      <w:szCs w:val="20"/>
                    </w:rPr>
                    <w:t>Student Headcount</w:t>
                  </w:r>
                  <w:r w:rsidRPr="00A7492E">
                    <w:rPr>
                      <w:rFonts w:ascii="Arial" w:eastAsia="Times New Roman" w:hAnsi="Arial" w:cs="Arial"/>
                      <w:color w:val="000000"/>
                      <w:sz w:val="20"/>
                      <w:szCs w:val="20"/>
                    </w:rPr>
                    <w:t xml:space="preserve"> Fall 2015</w:t>
                  </w:r>
                </w:p>
              </w:tc>
            </w:tr>
            <w:tr w:rsidR="00A7492E" w:rsidRPr="00A7492E" w14:paraId="78F9C469" w14:textId="77777777" w:rsidTr="004D5CF2">
              <w:trPr>
                <w:trHeight w:val="255"/>
              </w:trPr>
              <w:tc>
                <w:tcPr>
                  <w:tcW w:w="2380" w:type="dxa"/>
                  <w:tcBorders>
                    <w:top w:val="nil"/>
                    <w:left w:val="nil"/>
                    <w:bottom w:val="nil"/>
                    <w:right w:val="nil"/>
                  </w:tcBorders>
                  <w:shd w:val="clear" w:color="auto" w:fill="auto"/>
                  <w:noWrap/>
                  <w:vAlign w:val="bottom"/>
                  <w:hideMark/>
                </w:tcPr>
                <w:p w14:paraId="14FF5D93" w14:textId="77777777" w:rsidR="00A7492E" w:rsidRPr="00A7492E" w:rsidRDefault="00A7492E" w:rsidP="00A7492E">
                  <w:pPr>
                    <w:spacing w:after="0" w:line="240" w:lineRule="auto"/>
                    <w:jc w:val="center"/>
                    <w:rPr>
                      <w:rFonts w:ascii="Arial" w:eastAsia="Times New Roman" w:hAnsi="Arial" w:cs="Arial"/>
                      <w:color w:val="000000"/>
                      <w:sz w:val="20"/>
                      <w:szCs w:val="20"/>
                    </w:rPr>
                  </w:pPr>
                </w:p>
              </w:tc>
              <w:tc>
                <w:tcPr>
                  <w:tcW w:w="1600" w:type="dxa"/>
                  <w:tcBorders>
                    <w:top w:val="nil"/>
                    <w:left w:val="nil"/>
                    <w:bottom w:val="nil"/>
                    <w:right w:val="nil"/>
                  </w:tcBorders>
                  <w:shd w:val="clear" w:color="auto" w:fill="auto"/>
                  <w:noWrap/>
                  <w:vAlign w:val="bottom"/>
                  <w:hideMark/>
                </w:tcPr>
                <w:p w14:paraId="23B594AA" w14:textId="77777777" w:rsidR="00A7492E" w:rsidRPr="00A7492E" w:rsidRDefault="00A7492E" w:rsidP="00A7492E">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8150372" w14:textId="77777777" w:rsidR="00A7492E" w:rsidRPr="00A7492E" w:rsidRDefault="00A7492E" w:rsidP="00A7492E">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931DD0B" w14:textId="77777777" w:rsidR="00A7492E" w:rsidRPr="00A7492E" w:rsidRDefault="00A7492E" w:rsidP="00A7492E">
                  <w:pPr>
                    <w:spacing w:after="0" w:line="240" w:lineRule="auto"/>
                    <w:rPr>
                      <w:rFonts w:ascii="Times New Roman" w:eastAsia="Times New Roman" w:hAnsi="Times New Roman" w:cs="Times New Roman"/>
                      <w:sz w:val="20"/>
                      <w:szCs w:val="20"/>
                    </w:rPr>
                  </w:pPr>
                </w:p>
              </w:tc>
            </w:tr>
            <w:tr w:rsidR="00A7492E" w:rsidRPr="00A7492E" w14:paraId="7746EFD7" w14:textId="77777777" w:rsidTr="004D5CF2">
              <w:trPr>
                <w:trHeight w:val="255"/>
              </w:trPr>
              <w:tc>
                <w:tcPr>
                  <w:tcW w:w="2380" w:type="dxa"/>
                  <w:tcBorders>
                    <w:top w:val="single" w:sz="4" w:space="0" w:color="auto"/>
                    <w:left w:val="single" w:sz="4" w:space="0" w:color="auto"/>
                    <w:bottom w:val="single" w:sz="4" w:space="0" w:color="auto"/>
                    <w:right w:val="nil"/>
                  </w:tcBorders>
                  <w:shd w:val="clear" w:color="auto" w:fill="auto"/>
                  <w:hideMark/>
                </w:tcPr>
                <w:p w14:paraId="20F0F30C"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14:paraId="56A8D36C" w14:textId="77777777" w:rsidR="00A7492E" w:rsidRPr="00A7492E" w:rsidRDefault="00A7492E" w:rsidP="00A7492E">
                  <w:pPr>
                    <w:spacing w:after="0" w:line="240" w:lineRule="auto"/>
                    <w:jc w:val="center"/>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Full-time</w:t>
                  </w:r>
                </w:p>
              </w:tc>
              <w:tc>
                <w:tcPr>
                  <w:tcW w:w="1480" w:type="dxa"/>
                  <w:tcBorders>
                    <w:top w:val="single" w:sz="4" w:space="0" w:color="auto"/>
                    <w:left w:val="nil"/>
                    <w:bottom w:val="single" w:sz="4" w:space="0" w:color="auto"/>
                    <w:right w:val="nil"/>
                  </w:tcBorders>
                  <w:shd w:val="clear" w:color="auto" w:fill="auto"/>
                  <w:hideMark/>
                </w:tcPr>
                <w:p w14:paraId="25C3BBB0" w14:textId="77777777" w:rsidR="00A7492E" w:rsidRPr="00A7492E" w:rsidRDefault="00A7492E" w:rsidP="00A7492E">
                  <w:pPr>
                    <w:spacing w:after="0" w:line="240" w:lineRule="auto"/>
                    <w:jc w:val="center"/>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Part-time</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14:paraId="61042687" w14:textId="77777777" w:rsidR="00A7492E" w:rsidRPr="00A7492E" w:rsidRDefault="00A7492E" w:rsidP="00A7492E">
                  <w:pPr>
                    <w:spacing w:after="0" w:line="240" w:lineRule="auto"/>
                    <w:jc w:val="center"/>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Total</w:t>
                  </w:r>
                </w:p>
              </w:tc>
            </w:tr>
            <w:tr w:rsidR="00A7492E" w:rsidRPr="00A7492E" w14:paraId="4EE3E923" w14:textId="77777777" w:rsidTr="004D5CF2">
              <w:trPr>
                <w:trHeight w:val="255"/>
              </w:trPr>
              <w:tc>
                <w:tcPr>
                  <w:tcW w:w="2380" w:type="dxa"/>
                  <w:tcBorders>
                    <w:top w:val="nil"/>
                    <w:left w:val="single" w:sz="4" w:space="0" w:color="auto"/>
                    <w:bottom w:val="nil"/>
                    <w:right w:val="nil"/>
                  </w:tcBorders>
                  <w:shd w:val="clear" w:color="auto" w:fill="auto"/>
                  <w:hideMark/>
                </w:tcPr>
                <w:p w14:paraId="776C1366" w14:textId="77777777" w:rsidR="00A7492E" w:rsidRPr="00A7492E" w:rsidRDefault="00A7492E" w:rsidP="00A7492E">
                  <w:pPr>
                    <w:spacing w:after="0" w:line="240" w:lineRule="auto"/>
                    <w:rPr>
                      <w:rFonts w:ascii="Arial" w:eastAsia="Times New Roman" w:hAnsi="Arial" w:cs="Arial"/>
                      <w:color w:val="000000"/>
                      <w:sz w:val="20"/>
                      <w:szCs w:val="20"/>
                    </w:rPr>
                  </w:pPr>
                  <w:r w:rsidRPr="00A7492E">
                    <w:rPr>
                      <w:rFonts w:ascii="Arial" w:eastAsia="Times New Roman" w:hAnsi="Arial" w:cs="Arial"/>
                      <w:color w:val="000000"/>
                      <w:sz w:val="20"/>
                      <w:szCs w:val="20"/>
                    </w:rPr>
                    <w:t>MILWAUKEE</w:t>
                  </w:r>
                </w:p>
              </w:tc>
              <w:tc>
                <w:tcPr>
                  <w:tcW w:w="1600" w:type="dxa"/>
                  <w:tcBorders>
                    <w:top w:val="nil"/>
                    <w:left w:val="single" w:sz="4" w:space="0" w:color="auto"/>
                    <w:bottom w:val="nil"/>
                    <w:right w:val="single" w:sz="4" w:space="0" w:color="auto"/>
                  </w:tcBorders>
                  <w:shd w:val="clear" w:color="auto" w:fill="auto"/>
                  <w:noWrap/>
                  <w:vAlign w:val="bottom"/>
                  <w:hideMark/>
                </w:tcPr>
                <w:p w14:paraId="0831197C"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20,964</w:t>
                  </w:r>
                </w:p>
              </w:tc>
              <w:tc>
                <w:tcPr>
                  <w:tcW w:w="1480" w:type="dxa"/>
                  <w:tcBorders>
                    <w:top w:val="nil"/>
                    <w:left w:val="nil"/>
                    <w:bottom w:val="nil"/>
                    <w:right w:val="nil"/>
                  </w:tcBorders>
                  <w:shd w:val="clear" w:color="auto" w:fill="auto"/>
                  <w:noWrap/>
                  <w:vAlign w:val="bottom"/>
                  <w:hideMark/>
                </w:tcPr>
                <w:p w14:paraId="5EAB4D09"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5,762</w:t>
                  </w:r>
                </w:p>
              </w:tc>
              <w:tc>
                <w:tcPr>
                  <w:tcW w:w="1340" w:type="dxa"/>
                  <w:tcBorders>
                    <w:top w:val="nil"/>
                    <w:left w:val="single" w:sz="4" w:space="0" w:color="auto"/>
                    <w:bottom w:val="nil"/>
                    <w:right w:val="single" w:sz="4" w:space="0" w:color="auto"/>
                  </w:tcBorders>
                  <w:shd w:val="clear" w:color="auto" w:fill="auto"/>
                  <w:hideMark/>
                </w:tcPr>
                <w:p w14:paraId="6CB74BCD"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 xml:space="preserve">26,726 </w:t>
                  </w:r>
                </w:p>
              </w:tc>
            </w:tr>
            <w:tr w:rsidR="00A7492E" w:rsidRPr="00A7492E" w14:paraId="3E036FAF" w14:textId="77777777" w:rsidTr="004D5CF2">
              <w:trPr>
                <w:trHeight w:val="255"/>
              </w:trPr>
              <w:tc>
                <w:tcPr>
                  <w:tcW w:w="2380" w:type="dxa"/>
                  <w:tcBorders>
                    <w:top w:val="nil"/>
                    <w:left w:val="single" w:sz="4" w:space="0" w:color="auto"/>
                    <w:bottom w:val="nil"/>
                    <w:right w:val="nil"/>
                  </w:tcBorders>
                  <w:shd w:val="clear" w:color="auto" w:fill="auto"/>
                  <w:hideMark/>
                </w:tcPr>
                <w:p w14:paraId="1873D2B0" w14:textId="77777777" w:rsidR="00A7492E" w:rsidRPr="00A7492E" w:rsidRDefault="00A7492E" w:rsidP="00A7492E">
                  <w:pPr>
                    <w:spacing w:after="0" w:line="240" w:lineRule="auto"/>
                    <w:rPr>
                      <w:rFonts w:ascii="Arial" w:eastAsia="Times New Roman" w:hAnsi="Arial" w:cs="Arial"/>
                      <w:color w:val="000000"/>
                      <w:sz w:val="20"/>
                      <w:szCs w:val="20"/>
                    </w:rPr>
                  </w:pPr>
                  <w:r w:rsidRPr="00A7492E">
                    <w:rPr>
                      <w:rFonts w:ascii="Arial" w:eastAsia="Times New Roman" w:hAnsi="Arial" w:cs="Arial"/>
                      <w:color w:val="000000"/>
                      <w:sz w:val="20"/>
                      <w:szCs w:val="20"/>
                    </w:rPr>
                    <w:t>EAU CLAIRE</w:t>
                  </w:r>
                </w:p>
              </w:tc>
              <w:tc>
                <w:tcPr>
                  <w:tcW w:w="1600" w:type="dxa"/>
                  <w:tcBorders>
                    <w:top w:val="nil"/>
                    <w:left w:val="single" w:sz="4" w:space="0" w:color="auto"/>
                    <w:bottom w:val="nil"/>
                    <w:right w:val="single" w:sz="4" w:space="0" w:color="auto"/>
                  </w:tcBorders>
                  <w:shd w:val="clear" w:color="auto" w:fill="auto"/>
                  <w:noWrap/>
                  <w:vAlign w:val="bottom"/>
                  <w:hideMark/>
                </w:tcPr>
                <w:p w14:paraId="2E665DCA"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9,360</w:t>
                  </w:r>
                </w:p>
              </w:tc>
              <w:tc>
                <w:tcPr>
                  <w:tcW w:w="1480" w:type="dxa"/>
                  <w:tcBorders>
                    <w:top w:val="nil"/>
                    <w:left w:val="nil"/>
                    <w:bottom w:val="nil"/>
                    <w:right w:val="nil"/>
                  </w:tcBorders>
                  <w:shd w:val="clear" w:color="auto" w:fill="auto"/>
                  <w:noWrap/>
                  <w:vAlign w:val="bottom"/>
                  <w:hideMark/>
                </w:tcPr>
                <w:p w14:paraId="2828DC89"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1,232</w:t>
                  </w:r>
                </w:p>
              </w:tc>
              <w:tc>
                <w:tcPr>
                  <w:tcW w:w="1340" w:type="dxa"/>
                  <w:tcBorders>
                    <w:top w:val="nil"/>
                    <w:left w:val="single" w:sz="4" w:space="0" w:color="auto"/>
                    <w:bottom w:val="nil"/>
                    <w:right w:val="single" w:sz="4" w:space="0" w:color="auto"/>
                  </w:tcBorders>
                  <w:shd w:val="clear" w:color="auto" w:fill="auto"/>
                  <w:hideMark/>
                </w:tcPr>
                <w:p w14:paraId="42A1388E"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 xml:space="preserve">10,592 </w:t>
                  </w:r>
                </w:p>
              </w:tc>
            </w:tr>
            <w:tr w:rsidR="00A7492E" w:rsidRPr="00A7492E" w14:paraId="44E77114" w14:textId="77777777" w:rsidTr="004D5CF2">
              <w:trPr>
                <w:trHeight w:val="255"/>
              </w:trPr>
              <w:tc>
                <w:tcPr>
                  <w:tcW w:w="2380" w:type="dxa"/>
                  <w:tcBorders>
                    <w:top w:val="nil"/>
                    <w:left w:val="single" w:sz="4" w:space="0" w:color="auto"/>
                    <w:bottom w:val="nil"/>
                    <w:right w:val="nil"/>
                  </w:tcBorders>
                  <w:shd w:val="clear" w:color="auto" w:fill="auto"/>
                  <w:hideMark/>
                </w:tcPr>
                <w:p w14:paraId="24E06D15" w14:textId="77777777" w:rsidR="00A7492E" w:rsidRPr="00A7492E" w:rsidRDefault="00A7492E" w:rsidP="00A7492E">
                  <w:pPr>
                    <w:spacing w:after="0" w:line="240" w:lineRule="auto"/>
                    <w:rPr>
                      <w:rFonts w:ascii="Arial" w:eastAsia="Times New Roman" w:hAnsi="Arial" w:cs="Arial"/>
                      <w:color w:val="000000"/>
                      <w:sz w:val="20"/>
                      <w:szCs w:val="20"/>
                    </w:rPr>
                  </w:pPr>
                  <w:r w:rsidRPr="00A7492E">
                    <w:rPr>
                      <w:rFonts w:ascii="Arial" w:eastAsia="Times New Roman" w:hAnsi="Arial" w:cs="Arial"/>
                      <w:color w:val="000000"/>
                      <w:sz w:val="20"/>
                      <w:szCs w:val="20"/>
                    </w:rPr>
                    <w:t>GREEN BAY</w:t>
                  </w:r>
                </w:p>
              </w:tc>
              <w:tc>
                <w:tcPr>
                  <w:tcW w:w="1600" w:type="dxa"/>
                  <w:tcBorders>
                    <w:top w:val="nil"/>
                    <w:left w:val="single" w:sz="4" w:space="0" w:color="auto"/>
                    <w:bottom w:val="nil"/>
                    <w:right w:val="single" w:sz="4" w:space="0" w:color="auto"/>
                  </w:tcBorders>
                  <w:shd w:val="clear" w:color="auto" w:fill="auto"/>
                  <w:noWrap/>
                  <w:vAlign w:val="bottom"/>
                  <w:hideMark/>
                </w:tcPr>
                <w:p w14:paraId="50C596AB"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4,084</w:t>
                  </w:r>
                </w:p>
              </w:tc>
              <w:tc>
                <w:tcPr>
                  <w:tcW w:w="1480" w:type="dxa"/>
                  <w:tcBorders>
                    <w:top w:val="nil"/>
                    <w:left w:val="nil"/>
                    <w:bottom w:val="nil"/>
                    <w:right w:val="nil"/>
                  </w:tcBorders>
                  <w:shd w:val="clear" w:color="auto" w:fill="auto"/>
                  <w:noWrap/>
                  <w:vAlign w:val="bottom"/>
                  <w:hideMark/>
                </w:tcPr>
                <w:p w14:paraId="4732085F"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2,700</w:t>
                  </w:r>
                </w:p>
              </w:tc>
              <w:tc>
                <w:tcPr>
                  <w:tcW w:w="1340" w:type="dxa"/>
                  <w:tcBorders>
                    <w:top w:val="nil"/>
                    <w:left w:val="single" w:sz="4" w:space="0" w:color="auto"/>
                    <w:bottom w:val="nil"/>
                    <w:right w:val="single" w:sz="4" w:space="0" w:color="auto"/>
                  </w:tcBorders>
                  <w:shd w:val="clear" w:color="auto" w:fill="auto"/>
                  <w:hideMark/>
                </w:tcPr>
                <w:p w14:paraId="6577EDB7"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 xml:space="preserve">6,784 </w:t>
                  </w:r>
                </w:p>
              </w:tc>
            </w:tr>
            <w:tr w:rsidR="00A7492E" w:rsidRPr="00A7492E" w14:paraId="10843088" w14:textId="77777777" w:rsidTr="004D5CF2">
              <w:trPr>
                <w:trHeight w:val="255"/>
              </w:trPr>
              <w:tc>
                <w:tcPr>
                  <w:tcW w:w="2380" w:type="dxa"/>
                  <w:tcBorders>
                    <w:top w:val="nil"/>
                    <w:left w:val="single" w:sz="4" w:space="0" w:color="auto"/>
                    <w:bottom w:val="nil"/>
                    <w:right w:val="nil"/>
                  </w:tcBorders>
                  <w:shd w:val="clear" w:color="auto" w:fill="auto"/>
                  <w:hideMark/>
                </w:tcPr>
                <w:p w14:paraId="7DE9DFCF" w14:textId="77777777" w:rsidR="00A7492E" w:rsidRPr="00A7492E" w:rsidRDefault="00A7492E" w:rsidP="00A7492E">
                  <w:pPr>
                    <w:spacing w:after="0" w:line="240" w:lineRule="auto"/>
                    <w:rPr>
                      <w:rFonts w:ascii="Arial" w:eastAsia="Times New Roman" w:hAnsi="Arial" w:cs="Arial"/>
                      <w:color w:val="000000"/>
                      <w:sz w:val="20"/>
                      <w:szCs w:val="20"/>
                    </w:rPr>
                  </w:pPr>
                  <w:r w:rsidRPr="00A7492E">
                    <w:rPr>
                      <w:rFonts w:ascii="Arial" w:eastAsia="Times New Roman" w:hAnsi="Arial" w:cs="Arial"/>
                      <w:color w:val="000000"/>
                      <w:sz w:val="20"/>
                      <w:szCs w:val="20"/>
                    </w:rPr>
                    <w:t>LA CROSSE</w:t>
                  </w:r>
                </w:p>
              </w:tc>
              <w:tc>
                <w:tcPr>
                  <w:tcW w:w="1600" w:type="dxa"/>
                  <w:tcBorders>
                    <w:top w:val="nil"/>
                    <w:left w:val="single" w:sz="4" w:space="0" w:color="auto"/>
                    <w:bottom w:val="nil"/>
                    <w:right w:val="single" w:sz="4" w:space="0" w:color="auto"/>
                  </w:tcBorders>
                  <w:shd w:val="clear" w:color="auto" w:fill="auto"/>
                  <w:noWrap/>
                  <w:vAlign w:val="bottom"/>
                  <w:hideMark/>
                </w:tcPr>
                <w:p w14:paraId="103BF659"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9,623</w:t>
                  </w:r>
                </w:p>
              </w:tc>
              <w:tc>
                <w:tcPr>
                  <w:tcW w:w="1480" w:type="dxa"/>
                  <w:tcBorders>
                    <w:top w:val="nil"/>
                    <w:left w:val="nil"/>
                    <w:bottom w:val="nil"/>
                    <w:right w:val="nil"/>
                  </w:tcBorders>
                  <w:shd w:val="clear" w:color="auto" w:fill="auto"/>
                  <w:noWrap/>
                  <w:vAlign w:val="bottom"/>
                  <w:hideMark/>
                </w:tcPr>
                <w:p w14:paraId="67666868"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867</w:t>
                  </w:r>
                </w:p>
              </w:tc>
              <w:tc>
                <w:tcPr>
                  <w:tcW w:w="1340" w:type="dxa"/>
                  <w:tcBorders>
                    <w:top w:val="nil"/>
                    <w:left w:val="single" w:sz="4" w:space="0" w:color="auto"/>
                    <w:bottom w:val="nil"/>
                    <w:right w:val="single" w:sz="4" w:space="0" w:color="auto"/>
                  </w:tcBorders>
                  <w:shd w:val="clear" w:color="auto" w:fill="auto"/>
                  <w:hideMark/>
                </w:tcPr>
                <w:p w14:paraId="5EC040D6"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 xml:space="preserve">10,490 </w:t>
                  </w:r>
                </w:p>
              </w:tc>
            </w:tr>
            <w:tr w:rsidR="00A7492E" w:rsidRPr="00A7492E" w14:paraId="565CF9C5" w14:textId="77777777" w:rsidTr="004D5CF2">
              <w:trPr>
                <w:trHeight w:val="255"/>
              </w:trPr>
              <w:tc>
                <w:tcPr>
                  <w:tcW w:w="2380" w:type="dxa"/>
                  <w:tcBorders>
                    <w:top w:val="nil"/>
                    <w:left w:val="single" w:sz="4" w:space="0" w:color="auto"/>
                    <w:bottom w:val="nil"/>
                    <w:right w:val="nil"/>
                  </w:tcBorders>
                  <w:shd w:val="clear" w:color="auto" w:fill="auto"/>
                  <w:hideMark/>
                </w:tcPr>
                <w:p w14:paraId="3A467C44" w14:textId="77777777" w:rsidR="00A7492E" w:rsidRPr="00A7492E" w:rsidRDefault="00A7492E" w:rsidP="00A7492E">
                  <w:pPr>
                    <w:spacing w:after="0" w:line="240" w:lineRule="auto"/>
                    <w:rPr>
                      <w:rFonts w:ascii="Arial" w:eastAsia="Times New Roman" w:hAnsi="Arial" w:cs="Arial"/>
                      <w:color w:val="000000"/>
                      <w:sz w:val="20"/>
                      <w:szCs w:val="20"/>
                    </w:rPr>
                  </w:pPr>
                  <w:r w:rsidRPr="00A7492E">
                    <w:rPr>
                      <w:rFonts w:ascii="Arial" w:eastAsia="Times New Roman" w:hAnsi="Arial" w:cs="Arial"/>
                      <w:color w:val="000000"/>
                      <w:sz w:val="20"/>
                      <w:szCs w:val="20"/>
                    </w:rPr>
                    <w:t>OSHKOSH</w:t>
                  </w:r>
                </w:p>
              </w:tc>
              <w:tc>
                <w:tcPr>
                  <w:tcW w:w="1600" w:type="dxa"/>
                  <w:tcBorders>
                    <w:top w:val="nil"/>
                    <w:left w:val="single" w:sz="4" w:space="0" w:color="auto"/>
                    <w:bottom w:val="nil"/>
                    <w:right w:val="single" w:sz="4" w:space="0" w:color="auto"/>
                  </w:tcBorders>
                  <w:shd w:val="clear" w:color="auto" w:fill="auto"/>
                  <w:noWrap/>
                  <w:vAlign w:val="bottom"/>
                  <w:hideMark/>
                </w:tcPr>
                <w:p w14:paraId="3D1A12A5"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8,919</w:t>
                  </w:r>
                </w:p>
              </w:tc>
              <w:tc>
                <w:tcPr>
                  <w:tcW w:w="1480" w:type="dxa"/>
                  <w:tcBorders>
                    <w:top w:val="nil"/>
                    <w:left w:val="nil"/>
                    <w:bottom w:val="nil"/>
                    <w:right w:val="nil"/>
                  </w:tcBorders>
                  <w:shd w:val="clear" w:color="auto" w:fill="auto"/>
                  <w:noWrap/>
                  <w:vAlign w:val="bottom"/>
                  <w:hideMark/>
                </w:tcPr>
                <w:p w14:paraId="2C4A2AE5"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5,132</w:t>
                  </w:r>
                </w:p>
              </w:tc>
              <w:tc>
                <w:tcPr>
                  <w:tcW w:w="1340" w:type="dxa"/>
                  <w:tcBorders>
                    <w:top w:val="nil"/>
                    <w:left w:val="single" w:sz="4" w:space="0" w:color="auto"/>
                    <w:bottom w:val="nil"/>
                    <w:right w:val="single" w:sz="4" w:space="0" w:color="auto"/>
                  </w:tcBorders>
                  <w:shd w:val="clear" w:color="auto" w:fill="auto"/>
                  <w:hideMark/>
                </w:tcPr>
                <w:p w14:paraId="345C5CB2"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 xml:space="preserve">14,051 </w:t>
                  </w:r>
                </w:p>
              </w:tc>
            </w:tr>
            <w:tr w:rsidR="00A7492E" w:rsidRPr="00A7492E" w14:paraId="16EF6C3B" w14:textId="77777777" w:rsidTr="004D5CF2">
              <w:trPr>
                <w:trHeight w:val="255"/>
              </w:trPr>
              <w:tc>
                <w:tcPr>
                  <w:tcW w:w="2380" w:type="dxa"/>
                  <w:tcBorders>
                    <w:top w:val="nil"/>
                    <w:left w:val="single" w:sz="4" w:space="0" w:color="auto"/>
                    <w:bottom w:val="nil"/>
                    <w:right w:val="nil"/>
                  </w:tcBorders>
                  <w:shd w:val="clear" w:color="auto" w:fill="auto"/>
                  <w:hideMark/>
                </w:tcPr>
                <w:p w14:paraId="47E6E3FE" w14:textId="77777777" w:rsidR="00A7492E" w:rsidRPr="00A7492E" w:rsidRDefault="00A7492E" w:rsidP="00A7492E">
                  <w:pPr>
                    <w:spacing w:after="0" w:line="240" w:lineRule="auto"/>
                    <w:rPr>
                      <w:rFonts w:ascii="Arial" w:eastAsia="Times New Roman" w:hAnsi="Arial" w:cs="Arial"/>
                      <w:color w:val="000000"/>
                      <w:sz w:val="20"/>
                      <w:szCs w:val="20"/>
                    </w:rPr>
                  </w:pPr>
                  <w:r w:rsidRPr="00A7492E">
                    <w:rPr>
                      <w:rFonts w:ascii="Arial" w:eastAsia="Times New Roman" w:hAnsi="Arial" w:cs="Arial"/>
                      <w:color w:val="000000"/>
                      <w:sz w:val="20"/>
                      <w:szCs w:val="20"/>
                    </w:rPr>
                    <w:t>PARKSIDE</w:t>
                  </w:r>
                </w:p>
              </w:tc>
              <w:tc>
                <w:tcPr>
                  <w:tcW w:w="1600" w:type="dxa"/>
                  <w:tcBorders>
                    <w:top w:val="nil"/>
                    <w:left w:val="single" w:sz="4" w:space="0" w:color="auto"/>
                    <w:bottom w:val="nil"/>
                    <w:right w:val="single" w:sz="4" w:space="0" w:color="auto"/>
                  </w:tcBorders>
                  <w:shd w:val="clear" w:color="auto" w:fill="auto"/>
                  <w:noWrap/>
                  <w:vAlign w:val="bottom"/>
                  <w:hideMark/>
                </w:tcPr>
                <w:p w14:paraId="7FC5508D"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3,301</w:t>
                  </w:r>
                </w:p>
              </w:tc>
              <w:tc>
                <w:tcPr>
                  <w:tcW w:w="1480" w:type="dxa"/>
                  <w:tcBorders>
                    <w:top w:val="nil"/>
                    <w:left w:val="nil"/>
                    <w:bottom w:val="nil"/>
                    <w:right w:val="nil"/>
                  </w:tcBorders>
                  <w:shd w:val="clear" w:color="auto" w:fill="auto"/>
                  <w:noWrap/>
                  <w:vAlign w:val="bottom"/>
                  <w:hideMark/>
                </w:tcPr>
                <w:p w14:paraId="4FB023CA"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1,111</w:t>
                  </w:r>
                </w:p>
              </w:tc>
              <w:tc>
                <w:tcPr>
                  <w:tcW w:w="1340" w:type="dxa"/>
                  <w:tcBorders>
                    <w:top w:val="nil"/>
                    <w:left w:val="single" w:sz="4" w:space="0" w:color="auto"/>
                    <w:bottom w:val="nil"/>
                    <w:right w:val="single" w:sz="4" w:space="0" w:color="auto"/>
                  </w:tcBorders>
                  <w:shd w:val="clear" w:color="auto" w:fill="auto"/>
                  <w:hideMark/>
                </w:tcPr>
                <w:p w14:paraId="3359CBE2"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 xml:space="preserve">4,412 </w:t>
                  </w:r>
                </w:p>
              </w:tc>
            </w:tr>
            <w:tr w:rsidR="00A7492E" w:rsidRPr="00A7492E" w14:paraId="68A46226" w14:textId="77777777" w:rsidTr="004D5CF2">
              <w:trPr>
                <w:trHeight w:val="255"/>
              </w:trPr>
              <w:tc>
                <w:tcPr>
                  <w:tcW w:w="2380" w:type="dxa"/>
                  <w:tcBorders>
                    <w:top w:val="nil"/>
                    <w:left w:val="single" w:sz="4" w:space="0" w:color="auto"/>
                    <w:bottom w:val="nil"/>
                    <w:right w:val="nil"/>
                  </w:tcBorders>
                  <w:shd w:val="clear" w:color="auto" w:fill="auto"/>
                  <w:hideMark/>
                </w:tcPr>
                <w:p w14:paraId="7A17BFB7" w14:textId="77777777" w:rsidR="00A7492E" w:rsidRPr="00A7492E" w:rsidRDefault="00A7492E" w:rsidP="00A7492E">
                  <w:pPr>
                    <w:spacing w:after="0" w:line="240" w:lineRule="auto"/>
                    <w:rPr>
                      <w:rFonts w:ascii="Arial" w:eastAsia="Times New Roman" w:hAnsi="Arial" w:cs="Arial"/>
                      <w:color w:val="000000"/>
                      <w:sz w:val="20"/>
                      <w:szCs w:val="20"/>
                    </w:rPr>
                  </w:pPr>
                  <w:r w:rsidRPr="00A7492E">
                    <w:rPr>
                      <w:rFonts w:ascii="Arial" w:eastAsia="Times New Roman" w:hAnsi="Arial" w:cs="Arial"/>
                      <w:color w:val="000000"/>
                      <w:sz w:val="20"/>
                      <w:szCs w:val="20"/>
                    </w:rPr>
                    <w:t>PLATTEVILLE</w:t>
                  </w:r>
                </w:p>
              </w:tc>
              <w:tc>
                <w:tcPr>
                  <w:tcW w:w="1600" w:type="dxa"/>
                  <w:tcBorders>
                    <w:top w:val="nil"/>
                    <w:left w:val="single" w:sz="4" w:space="0" w:color="auto"/>
                    <w:bottom w:val="nil"/>
                    <w:right w:val="single" w:sz="4" w:space="0" w:color="auto"/>
                  </w:tcBorders>
                  <w:shd w:val="clear" w:color="auto" w:fill="auto"/>
                  <w:noWrap/>
                  <w:vAlign w:val="bottom"/>
                  <w:hideMark/>
                </w:tcPr>
                <w:p w14:paraId="7C22B6BA"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7,196</w:t>
                  </w:r>
                </w:p>
              </w:tc>
              <w:tc>
                <w:tcPr>
                  <w:tcW w:w="1480" w:type="dxa"/>
                  <w:tcBorders>
                    <w:top w:val="nil"/>
                    <w:left w:val="nil"/>
                    <w:bottom w:val="nil"/>
                    <w:right w:val="nil"/>
                  </w:tcBorders>
                  <w:shd w:val="clear" w:color="auto" w:fill="auto"/>
                  <w:noWrap/>
                  <w:vAlign w:val="bottom"/>
                  <w:hideMark/>
                </w:tcPr>
                <w:p w14:paraId="5AC90976"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1,749</w:t>
                  </w:r>
                </w:p>
              </w:tc>
              <w:tc>
                <w:tcPr>
                  <w:tcW w:w="1340" w:type="dxa"/>
                  <w:tcBorders>
                    <w:top w:val="nil"/>
                    <w:left w:val="single" w:sz="4" w:space="0" w:color="auto"/>
                    <w:bottom w:val="nil"/>
                    <w:right w:val="single" w:sz="4" w:space="0" w:color="auto"/>
                  </w:tcBorders>
                  <w:shd w:val="clear" w:color="auto" w:fill="auto"/>
                  <w:hideMark/>
                </w:tcPr>
                <w:p w14:paraId="6D7CD280"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 xml:space="preserve">8,945 </w:t>
                  </w:r>
                </w:p>
              </w:tc>
            </w:tr>
            <w:tr w:rsidR="00A7492E" w:rsidRPr="00A7492E" w14:paraId="31A0E78C" w14:textId="77777777" w:rsidTr="004D5CF2">
              <w:trPr>
                <w:trHeight w:val="255"/>
              </w:trPr>
              <w:tc>
                <w:tcPr>
                  <w:tcW w:w="2380" w:type="dxa"/>
                  <w:tcBorders>
                    <w:top w:val="nil"/>
                    <w:left w:val="single" w:sz="4" w:space="0" w:color="auto"/>
                    <w:bottom w:val="nil"/>
                    <w:right w:val="nil"/>
                  </w:tcBorders>
                  <w:shd w:val="clear" w:color="auto" w:fill="auto"/>
                  <w:hideMark/>
                </w:tcPr>
                <w:p w14:paraId="05562A25" w14:textId="77777777" w:rsidR="00A7492E" w:rsidRPr="00A7492E" w:rsidRDefault="00A7492E" w:rsidP="00A7492E">
                  <w:pPr>
                    <w:spacing w:after="0" w:line="240" w:lineRule="auto"/>
                    <w:rPr>
                      <w:rFonts w:ascii="Arial" w:eastAsia="Times New Roman" w:hAnsi="Arial" w:cs="Arial"/>
                      <w:color w:val="000000"/>
                      <w:sz w:val="20"/>
                      <w:szCs w:val="20"/>
                    </w:rPr>
                  </w:pPr>
                  <w:r w:rsidRPr="00A7492E">
                    <w:rPr>
                      <w:rFonts w:ascii="Arial" w:eastAsia="Times New Roman" w:hAnsi="Arial" w:cs="Arial"/>
                      <w:color w:val="000000"/>
                      <w:sz w:val="20"/>
                      <w:szCs w:val="20"/>
                    </w:rPr>
                    <w:t>RIVER FALLS</w:t>
                  </w:r>
                </w:p>
              </w:tc>
              <w:tc>
                <w:tcPr>
                  <w:tcW w:w="1600" w:type="dxa"/>
                  <w:tcBorders>
                    <w:top w:val="nil"/>
                    <w:left w:val="single" w:sz="4" w:space="0" w:color="auto"/>
                    <w:bottom w:val="nil"/>
                    <w:right w:val="single" w:sz="4" w:space="0" w:color="auto"/>
                  </w:tcBorders>
                  <w:shd w:val="clear" w:color="auto" w:fill="auto"/>
                  <w:noWrap/>
                  <w:vAlign w:val="bottom"/>
                  <w:hideMark/>
                </w:tcPr>
                <w:p w14:paraId="559B74DA"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5,087</w:t>
                  </w:r>
                </w:p>
              </w:tc>
              <w:tc>
                <w:tcPr>
                  <w:tcW w:w="1480" w:type="dxa"/>
                  <w:tcBorders>
                    <w:top w:val="nil"/>
                    <w:left w:val="nil"/>
                    <w:bottom w:val="nil"/>
                    <w:right w:val="nil"/>
                  </w:tcBorders>
                  <w:shd w:val="clear" w:color="auto" w:fill="auto"/>
                  <w:noWrap/>
                  <w:vAlign w:val="bottom"/>
                  <w:hideMark/>
                </w:tcPr>
                <w:p w14:paraId="47DEBDDD"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862</w:t>
                  </w:r>
                </w:p>
              </w:tc>
              <w:tc>
                <w:tcPr>
                  <w:tcW w:w="1340" w:type="dxa"/>
                  <w:tcBorders>
                    <w:top w:val="nil"/>
                    <w:left w:val="single" w:sz="4" w:space="0" w:color="auto"/>
                    <w:bottom w:val="nil"/>
                    <w:right w:val="single" w:sz="4" w:space="0" w:color="auto"/>
                  </w:tcBorders>
                  <w:shd w:val="clear" w:color="auto" w:fill="auto"/>
                  <w:hideMark/>
                </w:tcPr>
                <w:p w14:paraId="4726ABFD"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 xml:space="preserve">5,949 </w:t>
                  </w:r>
                </w:p>
              </w:tc>
            </w:tr>
            <w:tr w:rsidR="00A7492E" w:rsidRPr="00A7492E" w14:paraId="6DE39AC4" w14:textId="77777777" w:rsidTr="004D5CF2">
              <w:trPr>
                <w:trHeight w:val="255"/>
              </w:trPr>
              <w:tc>
                <w:tcPr>
                  <w:tcW w:w="2380" w:type="dxa"/>
                  <w:tcBorders>
                    <w:top w:val="nil"/>
                    <w:left w:val="single" w:sz="4" w:space="0" w:color="auto"/>
                    <w:bottom w:val="nil"/>
                    <w:right w:val="nil"/>
                  </w:tcBorders>
                  <w:shd w:val="clear" w:color="auto" w:fill="auto"/>
                  <w:hideMark/>
                </w:tcPr>
                <w:p w14:paraId="04DFA926" w14:textId="77777777" w:rsidR="00A7492E" w:rsidRPr="00A7492E" w:rsidRDefault="00A7492E" w:rsidP="00A7492E">
                  <w:pPr>
                    <w:spacing w:after="0" w:line="240" w:lineRule="auto"/>
                    <w:rPr>
                      <w:rFonts w:ascii="Arial" w:eastAsia="Times New Roman" w:hAnsi="Arial" w:cs="Arial"/>
                      <w:color w:val="000000"/>
                      <w:sz w:val="20"/>
                      <w:szCs w:val="20"/>
                    </w:rPr>
                  </w:pPr>
                  <w:r w:rsidRPr="00A7492E">
                    <w:rPr>
                      <w:rFonts w:ascii="Arial" w:eastAsia="Times New Roman" w:hAnsi="Arial" w:cs="Arial"/>
                      <w:color w:val="000000"/>
                      <w:sz w:val="20"/>
                      <w:szCs w:val="20"/>
                    </w:rPr>
                    <w:t>STEVENS POINT</w:t>
                  </w:r>
                </w:p>
              </w:tc>
              <w:tc>
                <w:tcPr>
                  <w:tcW w:w="1600" w:type="dxa"/>
                  <w:tcBorders>
                    <w:top w:val="nil"/>
                    <w:left w:val="single" w:sz="4" w:space="0" w:color="auto"/>
                    <w:bottom w:val="nil"/>
                    <w:right w:val="single" w:sz="4" w:space="0" w:color="auto"/>
                  </w:tcBorders>
                  <w:shd w:val="clear" w:color="auto" w:fill="auto"/>
                  <w:noWrap/>
                  <w:vAlign w:val="bottom"/>
                  <w:hideMark/>
                </w:tcPr>
                <w:p w14:paraId="1368CEA1"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8,275</w:t>
                  </w:r>
                </w:p>
              </w:tc>
              <w:tc>
                <w:tcPr>
                  <w:tcW w:w="1480" w:type="dxa"/>
                  <w:tcBorders>
                    <w:top w:val="nil"/>
                    <w:left w:val="nil"/>
                    <w:bottom w:val="nil"/>
                    <w:right w:val="nil"/>
                  </w:tcBorders>
                  <w:shd w:val="clear" w:color="auto" w:fill="auto"/>
                  <w:noWrap/>
                  <w:vAlign w:val="bottom"/>
                  <w:hideMark/>
                </w:tcPr>
                <w:p w14:paraId="36CBB654"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990</w:t>
                  </w:r>
                </w:p>
              </w:tc>
              <w:tc>
                <w:tcPr>
                  <w:tcW w:w="1340" w:type="dxa"/>
                  <w:tcBorders>
                    <w:top w:val="nil"/>
                    <w:left w:val="single" w:sz="4" w:space="0" w:color="auto"/>
                    <w:bottom w:val="nil"/>
                    <w:right w:val="single" w:sz="4" w:space="0" w:color="auto"/>
                  </w:tcBorders>
                  <w:shd w:val="clear" w:color="auto" w:fill="auto"/>
                  <w:hideMark/>
                </w:tcPr>
                <w:p w14:paraId="401E8510"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 xml:space="preserve">9,265 </w:t>
                  </w:r>
                </w:p>
              </w:tc>
            </w:tr>
            <w:tr w:rsidR="00A7492E" w:rsidRPr="00A7492E" w14:paraId="20FF1C2F" w14:textId="77777777" w:rsidTr="004D5CF2">
              <w:trPr>
                <w:trHeight w:val="255"/>
              </w:trPr>
              <w:tc>
                <w:tcPr>
                  <w:tcW w:w="2380" w:type="dxa"/>
                  <w:tcBorders>
                    <w:top w:val="nil"/>
                    <w:left w:val="single" w:sz="4" w:space="0" w:color="auto"/>
                    <w:bottom w:val="nil"/>
                    <w:right w:val="nil"/>
                  </w:tcBorders>
                  <w:shd w:val="clear" w:color="auto" w:fill="auto"/>
                  <w:hideMark/>
                </w:tcPr>
                <w:p w14:paraId="4FB536E1" w14:textId="77777777" w:rsidR="00A7492E" w:rsidRPr="00A7492E" w:rsidRDefault="00A7492E" w:rsidP="00A7492E">
                  <w:pPr>
                    <w:spacing w:after="0" w:line="240" w:lineRule="auto"/>
                    <w:rPr>
                      <w:rFonts w:ascii="Arial" w:eastAsia="Times New Roman" w:hAnsi="Arial" w:cs="Arial"/>
                      <w:color w:val="000000"/>
                      <w:sz w:val="20"/>
                      <w:szCs w:val="20"/>
                    </w:rPr>
                  </w:pPr>
                  <w:r w:rsidRPr="00A7492E">
                    <w:rPr>
                      <w:rFonts w:ascii="Arial" w:eastAsia="Times New Roman" w:hAnsi="Arial" w:cs="Arial"/>
                      <w:color w:val="000000"/>
                      <w:sz w:val="20"/>
                      <w:szCs w:val="20"/>
                    </w:rPr>
                    <w:t>STOUT</w:t>
                  </w:r>
                </w:p>
              </w:tc>
              <w:tc>
                <w:tcPr>
                  <w:tcW w:w="1600" w:type="dxa"/>
                  <w:tcBorders>
                    <w:top w:val="nil"/>
                    <w:left w:val="single" w:sz="4" w:space="0" w:color="auto"/>
                    <w:bottom w:val="nil"/>
                    <w:right w:val="single" w:sz="4" w:space="0" w:color="auto"/>
                  </w:tcBorders>
                  <w:shd w:val="clear" w:color="auto" w:fill="auto"/>
                  <w:noWrap/>
                  <w:vAlign w:val="bottom"/>
                  <w:hideMark/>
                </w:tcPr>
                <w:p w14:paraId="7607424E"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7,155</w:t>
                  </w:r>
                </w:p>
              </w:tc>
              <w:tc>
                <w:tcPr>
                  <w:tcW w:w="1480" w:type="dxa"/>
                  <w:tcBorders>
                    <w:top w:val="nil"/>
                    <w:left w:val="nil"/>
                    <w:bottom w:val="nil"/>
                    <w:right w:val="nil"/>
                  </w:tcBorders>
                  <w:shd w:val="clear" w:color="auto" w:fill="auto"/>
                  <w:noWrap/>
                  <w:vAlign w:val="bottom"/>
                  <w:hideMark/>
                </w:tcPr>
                <w:p w14:paraId="0F87B21C"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2,399</w:t>
                  </w:r>
                </w:p>
              </w:tc>
              <w:tc>
                <w:tcPr>
                  <w:tcW w:w="1340" w:type="dxa"/>
                  <w:tcBorders>
                    <w:top w:val="nil"/>
                    <w:left w:val="single" w:sz="4" w:space="0" w:color="auto"/>
                    <w:bottom w:val="nil"/>
                    <w:right w:val="single" w:sz="4" w:space="0" w:color="auto"/>
                  </w:tcBorders>
                  <w:shd w:val="clear" w:color="auto" w:fill="auto"/>
                  <w:hideMark/>
                </w:tcPr>
                <w:p w14:paraId="63C894BE"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 xml:space="preserve">9,554 </w:t>
                  </w:r>
                </w:p>
              </w:tc>
            </w:tr>
            <w:tr w:rsidR="00A7492E" w:rsidRPr="00A7492E" w14:paraId="79E0F9F5" w14:textId="77777777" w:rsidTr="004D5CF2">
              <w:trPr>
                <w:trHeight w:val="255"/>
              </w:trPr>
              <w:tc>
                <w:tcPr>
                  <w:tcW w:w="2380" w:type="dxa"/>
                  <w:tcBorders>
                    <w:top w:val="nil"/>
                    <w:left w:val="single" w:sz="4" w:space="0" w:color="auto"/>
                    <w:bottom w:val="nil"/>
                    <w:right w:val="nil"/>
                  </w:tcBorders>
                  <w:shd w:val="clear" w:color="auto" w:fill="auto"/>
                  <w:hideMark/>
                </w:tcPr>
                <w:p w14:paraId="75E904C6" w14:textId="77777777" w:rsidR="00A7492E" w:rsidRPr="00A7492E" w:rsidRDefault="00A7492E" w:rsidP="00A7492E">
                  <w:pPr>
                    <w:spacing w:after="0" w:line="240" w:lineRule="auto"/>
                    <w:rPr>
                      <w:rFonts w:ascii="Arial" w:eastAsia="Times New Roman" w:hAnsi="Arial" w:cs="Arial"/>
                      <w:color w:val="000000"/>
                      <w:sz w:val="20"/>
                      <w:szCs w:val="20"/>
                    </w:rPr>
                  </w:pPr>
                  <w:r w:rsidRPr="00A7492E">
                    <w:rPr>
                      <w:rFonts w:ascii="Arial" w:eastAsia="Times New Roman" w:hAnsi="Arial" w:cs="Arial"/>
                      <w:color w:val="000000"/>
                      <w:sz w:val="20"/>
                      <w:szCs w:val="20"/>
                    </w:rPr>
                    <w:t>SUPERIOR</w:t>
                  </w:r>
                </w:p>
              </w:tc>
              <w:tc>
                <w:tcPr>
                  <w:tcW w:w="1600" w:type="dxa"/>
                  <w:tcBorders>
                    <w:top w:val="nil"/>
                    <w:left w:val="single" w:sz="4" w:space="0" w:color="auto"/>
                    <w:bottom w:val="nil"/>
                    <w:right w:val="single" w:sz="4" w:space="0" w:color="auto"/>
                  </w:tcBorders>
                  <w:shd w:val="clear" w:color="auto" w:fill="auto"/>
                  <w:noWrap/>
                  <w:vAlign w:val="bottom"/>
                  <w:hideMark/>
                </w:tcPr>
                <w:p w14:paraId="076907A2"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1,929</w:t>
                  </w:r>
                </w:p>
              </w:tc>
              <w:tc>
                <w:tcPr>
                  <w:tcW w:w="1480" w:type="dxa"/>
                  <w:tcBorders>
                    <w:top w:val="nil"/>
                    <w:left w:val="nil"/>
                    <w:bottom w:val="nil"/>
                    <w:right w:val="nil"/>
                  </w:tcBorders>
                  <w:shd w:val="clear" w:color="auto" w:fill="auto"/>
                  <w:noWrap/>
                  <w:vAlign w:val="bottom"/>
                  <w:hideMark/>
                </w:tcPr>
                <w:p w14:paraId="63569450"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568</w:t>
                  </w:r>
                </w:p>
              </w:tc>
              <w:tc>
                <w:tcPr>
                  <w:tcW w:w="1340" w:type="dxa"/>
                  <w:tcBorders>
                    <w:top w:val="nil"/>
                    <w:left w:val="single" w:sz="4" w:space="0" w:color="auto"/>
                    <w:bottom w:val="nil"/>
                    <w:right w:val="single" w:sz="4" w:space="0" w:color="auto"/>
                  </w:tcBorders>
                  <w:shd w:val="clear" w:color="auto" w:fill="auto"/>
                  <w:hideMark/>
                </w:tcPr>
                <w:p w14:paraId="0B849F53"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 xml:space="preserve">2,497 </w:t>
                  </w:r>
                </w:p>
              </w:tc>
            </w:tr>
            <w:tr w:rsidR="00A7492E" w:rsidRPr="00A7492E" w14:paraId="7572E1A8" w14:textId="77777777" w:rsidTr="004D5CF2">
              <w:trPr>
                <w:trHeight w:val="255"/>
              </w:trPr>
              <w:tc>
                <w:tcPr>
                  <w:tcW w:w="2380" w:type="dxa"/>
                  <w:tcBorders>
                    <w:top w:val="nil"/>
                    <w:left w:val="single" w:sz="4" w:space="0" w:color="auto"/>
                    <w:bottom w:val="nil"/>
                    <w:right w:val="nil"/>
                  </w:tcBorders>
                  <w:shd w:val="clear" w:color="auto" w:fill="auto"/>
                  <w:hideMark/>
                </w:tcPr>
                <w:p w14:paraId="46E21ECB" w14:textId="77777777" w:rsidR="00A7492E" w:rsidRPr="00A7492E" w:rsidRDefault="00A7492E" w:rsidP="00A7492E">
                  <w:pPr>
                    <w:spacing w:after="0" w:line="240" w:lineRule="auto"/>
                    <w:rPr>
                      <w:rFonts w:ascii="Arial" w:eastAsia="Times New Roman" w:hAnsi="Arial" w:cs="Arial"/>
                      <w:color w:val="000000"/>
                      <w:sz w:val="20"/>
                      <w:szCs w:val="20"/>
                    </w:rPr>
                  </w:pPr>
                  <w:r w:rsidRPr="00A7492E">
                    <w:rPr>
                      <w:rFonts w:ascii="Arial" w:eastAsia="Times New Roman" w:hAnsi="Arial" w:cs="Arial"/>
                      <w:color w:val="000000"/>
                      <w:sz w:val="20"/>
                      <w:szCs w:val="20"/>
                    </w:rPr>
                    <w:t>WHITEWATER</w:t>
                  </w:r>
                </w:p>
              </w:tc>
              <w:tc>
                <w:tcPr>
                  <w:tcW w:w="1600" w:type="dxa"/>
                  <w:tcBorders>
                    <w:top w:val="nil"/>
                    <w:left w:val="single" w:sz="4" w:space="0" w:color="auto"/>
                    <w:bottom w:val="nil"/>
                    <w:right w:val="single" w:sz="4" w:space="0" w:color="auto"/>
                  </w:tcBorders>
                  <w:shd w:val="clear" w:color="auto" w:fill="auto"/>
                  <w:noWrap/>
                  <w:vAlign w:val="bottom"/>
                  <w:hideMark/>
                </w:tcPr>
                <w:p w14:paraId="6BC43613"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10,400</w:t>
                  </w:r>
                </w:p>
              </w:tc>
              <w:tc>
                <w:tcPr>
                  <w:tcW w:w="1480" w:type="dxa"/>
                  <w:tcBorders>
                    <w:top w:val="nil"/>
                    <w:left w:val="nil"/>
                    <w:bottom w:val="nil"/>
                    <w:right w:val="nil"/>
                  </w:tcBorders>
                  <w:shd w:val="clear" w:color="auto" w:fill="auto"/>
                  <w:noWrap/>
                  <w:vAlign w:val="bottom"/>
                  <w:hideMark/>
                </w:tcPr>
                <w:p w14:paraId="615B590F"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1,960</w:t>
                  </w:r>
                </w:p>
              </w:tc>
              <w:tc>
                <w:tcPr>
                  <w:tcW w:w="1340" w:type="dxa"/>
                  <w:tcBorders>
                    <w:top w:val="nil"/>
                    <w:left w:val="single" w:sz="4" w:space="0" w:color="auto"/>
                    <w:bottom w:val="nil"/>
                    <w:right w:val="single" w:sz="4" w:space="0" w:color="auto"/>
                  </w:tcBorders>
                  <w:shd w:val="clear" w:color="auto" w:fill="auto"/>
                  <w:hideMark/>
                </w:tcPr>
                <w:p w14:paraId="08746C7E"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 xml:space="preserve">12,360 </w:t>
                  </w:r>
                </w:p>
              </w:tc>
            </w:tr>
            <w:tr w:rsidR="00A7492E" w:rsidRPr="00A7492E" w14:paraId="569A39F8" w14:textId="77777777" w:rsidTr="004D5CF2">
              <w:trPr>
                <w:trHeight w:val="255"/>
              </w:trPr>
              <w:tc>
                <w:tcPr>
                  <w:tcW w:w="2380" w:type="dxa"/>
                  <w:tcBorders>
                    <w:top w:val="nil"/>
                    <w:left w:val="single" w:sz="4" w:space="0" w:color="auto"/>
                    <w:bottom w:val="nil"/>
                    <w:right w:val="nil"/>
                  </w:tcBorders>
                  <w:shd w:val="clear" w:color="auto" w:fill="auto"/>
                  <w:hideMark/>
                </w:tcPr>
                <w:p w14:paraId="5347D999" w14:textId="77777777" w:rsidR="00A7492E" w:rsidRPr="00A7492E" w:rsidRDefault="00A7492E" w:rsidP="00A7492E">
                  <w:pPr>
                    <w:spacing w:after="0" w:line="240" w:lineRule="auto"/>
                    <w:rPr>
                      <w:rFonts w:ascii="Arial" w:eastAsia="Times New Roman" w:hAnsi="Arial" w:cs="Arial"/>
                      <w:color w:val="000000"/>
                      <w:sz w:val="20"/>
                      <w:szCs w:val="20"/>
                    </w:rPr>
                  </w:pPr>
                  <w:r w:rsidRPr="00A7492E">
                    <w:rPr>
                      <w:rFonts w:ascii="Arial" w:eastAsia="Times New Roman" w:hAnsi="Arial" w:cs="Arial"/>
                      <w:color w:val="000000"/>
                      <w:sz w:val="20"/>
                      <w:szCs w:val="20"/>
                    </w:rPr>
                    <w:t>COLLEGES</w:t>
                  </w:r>
                </w:p>
              </w:tc>
              <w:tc>
                <w:tcPr>
                  <w:tcW w:w="1600" w:type="dxa"/>
                  <w:tcBorders>
                    <w:top w:val="nil"/>
                    <w:left w:val="single" w:sz="4" w:space="0" w:color="auto"/>
                    <w:bottom w:val="nil"/>
                    <w:right w:val="single" w:sz="4" w:space="0" w:color="auto"/>
                  </w:tcBorders>
                  <w:shd w:val="clear" w:color="auto" w:fill="auto"/>
                  <w:noWrap/>
                  <w:vAlign w:val="bottom"/>
                  <w:hideMark/>
                </w:tcPr>
                <w:p w14:paraId="0673AE42"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6,633</w:t>
                  </w:r>
                </w:p>
              </w:tc>
              <w:tc>
                <w:tcPr>
                  <w:tcW w:w="1480" w:type="dxa"/>
                  <w:tcBorders>
                    <w:top w:val="nil"/>
                    <w:left w:val="nil"/>
                    <w:bottom w:val="nil"/>
                    <w:right w:val="nil"/>
                  </w:tcBorders>
                  <w:shd w:val="clear" w:color="auto" w:fill="auto"/>
                  <w:noWrap/>
                  <w:vAlign w:val="bottom"/>
                  <w:hideMark/>
                </w:tcPr>
                <w:p w14:paraId="1EF0CE21"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6,821</w:t>
                  </w:r>
                </w:p>
              </w:tc>
              <w:tc>
                <w:tcPr>
                  <w:tcW w:w="1340" w:type="dxa"/>
                  <w:tcBorders>
                    <w:top w:val="nil"/>
                    <w:left w:val="single" w:sz="4" w:space="0" w:color="auto"/>
                    <w:bottom w:val="nil"/>
                    <w:right w:val="single" w:sz="4" w:space="0" w:color="auto"/>
                  </w:tcBorders>
                  <w:shd w:val="clear" w:color="auto" w:fill="auto"/>
                  <w:hideMark/>
                </w:tcPr>
                <w:p w14:paraId="17208BA7"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 xml:space="preserve">13,454 </w:t>
                  </w:r>
                </w:p>
              </w:tc>
            </w:tr>
          </w:tbl>
          <w:p w14:paraId="75AEB0B0" w14:textId="77777777" w:rsidR="0095401C" w:rsidRDefault="0095401C" w:rsidP="0027042A">
            <w:pPr>
              <w:rPr>
                <w:b/>
              </w:rPr>
            </w:pPr>
          </w:p>
          <w:p w14:paraId="49BD48B9" w14:textId="77777777" w:rsidR="00A7492E" w:rsidRPr="00EE570D" w:rsidRDefault="00EE570D" w:rsidP="0027042A">
            <w:r w:rsidRPr="00EE570D">
              <w:t>*</w:t>
            </w:r>
            <w:r w:rsidR="002052A6" w:rsidRPr="00EE570D">
              <w:t>Graduate Assistants</w:t>
            </w:r>
            <w:r w:rsidR="00A7492E" w:rsidRPr="00EE570D">
              <w:t xml:space="preserve"> are </w:t>
            </w:r>
            <w:r>
              <w:t>included</w:t>
            </w:r>
            <w:r w:rsidR="00A7492E" w:rsidRPr="00EE570D">
              <w:t xml:space="preserve"> </w:t>
            </w:r>
            <w:r>
              <w:t>in student headcounts</w:t>
            </w:r>
            <w:r w:rsidR="00A7492E" w:rsidRPr="00EE570D">
              <w:t>.</w:t>
            </w:r>
            <w:r w:rsidRPr="00EE570D">
              <w:t xml:space="preserve"> </w:t>
            </w:r>
          </w:p>
          <w:tbl>
            <w:tblPr>
              <w:tblW w:w="6822" w:type="dxa"/>
              <w:tblLayout w:type="fixed"/>
              <w:tblLook w:val="04A0" w:firstRow="1" w:lastRow="0" w:firstColumn="1" w:lastColumn="0" w:noHBand="0" w:noVBand="1"/>
            </w:tblPr>
            <w:tblGrid>
              <w:gridCol w:w="1630"/>
              <w:gridCol w:w="1232"/>
              <w:gridCol w:w="1170"/>
              <w:gridCol w:w="1440"/>
              <w:gridCol w:w="1350"/>
            </w:tblGrid>
            <w:tr w:rsidR="00A7492E" w:rsidRPr="00A7492E" w14:paraId="70B36CDF" w14:textId="77777777" w:rsidTr="007B0929">
              <w:trPr>
                <w:trHeight w:val="255"/>
              </w:trPr>
              <w:tc>
                <w:tcPr>
                  <w:tcW w:w="1630" w:type="dxa"/>
                  <w:tcBorders>
                    <w:top w:val="nil"/>
                    <w:left w:val="nil"/>
                    <w:bottom w:val="nil"/>
                    <w:right w:val="nil"/>
                  </w:tcBorders>
                  <w:shd w:val="clear" w:color="auto" w:fill="auto"/>
                  <w:noWrap/>
                  <w:vAlign w:val="bottom"/>
                  <w:hideMark/>
                </w:tcPr>
                <w:p w14:paraId="7D9BB38D" w14:textId="77777777" w:rsidR="00A7492E" w:rsidRPr="00A7492E" w:rsidRDefault="00A7492E" w:rsidP="00A7492E">
                  <w:pPr>
                    <w:spacing w:after="0" w:line="240" w:lineRule="auto"/>
                    <w:rPr>
                      <w:rFonts w:ascii="Times New Roman" w:eastAsia="Times New Roman" w:hAnsi="Times New Roman" w:cs="Times New Roman"/>
                      <w:sz w:val="24"/>
                      <w:szCs w:val="24"/>
                    </w:rPr>
                  </w:pPr>
                </w:p>
              </w:tc>
              <w:tc>
                <w:tcPr>
                  <w:tcW w:w="1232" w:type="dxa"/>
                  <w:tcBorders>
                    <w:top w:val="nil"/>
                    <w:left w:val="nil"/>
                    <w:bottom w:val="nil"/>
                    <w:right w:val="nil"/>
                  </w:tcBorders>
                  <w:shd w:val="clear" w:color="auto" w:fill="auto"/>
                  <w:noWrap/>
                  <w:vAlign w:val="bottom"/>
                  <w:hideMark/>
                </w:tcPr>
                <w:p w14:paraId="594419F6" w14:textId="77777777" w:rsidR="00A7492E" w:rsidRPr="00A7492E" w:rsidRDefault="00A7492E" w:rsidP="00A7492E">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4A4E862" w14:textId="77777777" w:rsidR="00A7492E" w:rsidRPr="00A7492E" w:rsidRDefault="00A7492E" w:rsidP="00A7492E">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6573AE4C" w14:textId="77777777" w:rsidR="00A7492E" w:rsidRPr="00A7492E" w:rsidRDefault="00A7492E" w:rsidP="00A7492E">
                  <w:pPr>
                    <w:spacing w:after="0" w:line="240" w:lineRule="auto"/>
                    <w:jc w:val="right"/>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21F28A61" w14:textId="77777777" w:rsidR="00A7492E" w:rsidRPr="00A7492E" w:rsidRDefault="00A7492E" w:rsidP="00A7492E">
                  <w:pPr>
                    <w:spacing w:after="0" w:line="240" w:lineRule="auto"/>
                    <w:jc w:val="right"/>
                    <w:rPr>
                      <w:rFonts w:ascii="Times New Roman" w:eastAsia="Times New Roman" w:hAnsi="Times New Roman" w:cs="Times New Roman"/>
                      <w:sz w:val="20"/>
                      <w:szCs w:val="20"/>
                    </w:rPr>
                  </w:pPr>
                </w:p>
              </w:tc>
            </w:tr>
            <w:tr w:rsidR="00A7492E" w:rsidRPr="00A7492E" w14:paraId="5851ACAD" w14:textId="77777777" w:rsidTr="007B0929">
              <w:trPr>
                <w:trHeight w:val="255"/>
              </w:trPr>
              <w:tc>
                <w:tcPr>
                  <w:tcW w:w="1630" w:type="dxa"/>
                  <w:tcBorders>
                    <w:top w:val="nil"/>
                    <w:left w:val="nil"/>
                    <w:bottom w:val="nil"/>
                    <w:right w:val="nil"/>
                  </w:tcBorders>
                  <w:shd w:val="clear" w:color="auto" w:fill="auto"/>
                  <w:hideMark/>
                </w:tcPr>
                <w:p w14:paraId="2E64ABB6" w14:textId="77777777" w:rsidR="00A7492E" w:rsidRPr="00A7492E" w:rsidRDefault="00A7492E" w:rsidP="00A7492E">
                  <w:pPr>
                    <w:spacing w:after="0" w:line="240" w:lineRule="auto"/>
                    <w:jc w:val="center"/>
                    <w:rPr>
                      <w:rFonts w:ascii="Arial" w:eastAsia="Times New Roman" w:hAnsi="Arial" w:cs="Arial"/>
                      <w:color w:val="000000"/>
                      <w:sz w:val="20"/>
                      <w:szCs w:val="20"/>
                    </w:rPr>
                  </w:pPr>
                </w:p>
              </w:tc>
              <w:tc>
                <w:tcPr>
                  <w:tcW w:w="1232" w:type="dxa"/>
                  <w:tcBorders>
                    <w:top w:val="nil"/>
                    <w:left w:val="nil"/>
                    <w:bottom w:val="nil"/>
                    <w:right w:val="nil"/>
                  </w:tcBorders>
                  <w:shd w:val="clear" w:color="auto" w:fill="auto"/>
                  <w:noWrap/>
                  <w:vAlign w:val="bottom"/>
                  <w:hideMark/>
                </w:tcPr>
                <w:p w14:paraId="671C32F7" w14:textId="77777777" w:rsidR="00A7492E" w:rsidRPr="00A7492E" w:rsidRDefault="00A7492E" w:rsidP="00A7492E">
                  <w:pPr>
                    <w:spacing w:after="0" w:line="240" w:lineRule="auto"/>
                    <w:jc w:val="center"/>
                    <w:rPr>
                      <w:rFonts w:ascii="Arial" w:eastAsia="Times New Roman" w:hAnsi="Arial" w:cs="Arial"/>
                      <w:color w:val="000000"/>
                      <w:sz w:val="20"/>
                      <w:szCs w:val="20"/>
                    </w:rPr>
                  </w:pPr>
                </w:p>
              </w:tc>
              <w:tc>
                <w:tcPr>
                  <w:tcW w:w="1170" w:type="dxa"/>
                  <w:tcBorders>
                    <w:top w:val="nil"/>
                    <w:left w:val="nil"/>
                    <w:bottom w:val="nil"/>
                    <w:right w:val="nil"/>
                  </w:tcBorders>
                  <w:shd w:val="clear" w:color="auto" w:fill="auto"/>
                  <w:noWrap/>
                  <w:vAlign w:val="bottom"/>
                  <w:hideMark/>
                </w:tcPr>
                <w:p w14:paraId="3FDC235E" w14:textId="77777777" w:rsidR="00A7492E" w:rsidRPr="00A7492E" w:rsidRDefault="00A7492E" w:rsidP="00A7492E">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7B45ADBA" w14:textId="77777777" w:rsidR="00A7492E" w:rsidRPr="00A7492E" w:rsidRDefault="00A7492E" w:rsidP="00A7492E">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3B26BDF1" w14:textId="77777777" w:rsidR="00A7492E" w:rsidRPr="00A7492E" w:rsidRDefault="00A7492E" w:rsidP="00A7492E">
                  <w:pPr>
                    <w:spacing w:after="0" w:line="240" w:lineRule="auto"/>
                    <w:rPr>
                      <w:rFonts w:ascii="Times New Roman" w:eastAsia="Times New Roman" w:hAnsi="Times New Roman" w:cs="Times New Roman"/>
                      <w:sz w:val="20"/>
                      <w:szCs w:val="20"/>
                    </w:rPr>
                  </w:pPr>
                </w:p>
              </w:tc>
            </w:tr>
            <w:tr w:rsidR="00A7492E" w:rsidRPr="00A7492E" w14:paraId="350D2576" w14:textId="77777777" w:rsidTr="007B0929">
              <w:trPr>
                <w:trHeight w:val="255"/>
              </w:trPr>
              <w:tc>
                <w:tcPr>
                  <w:tcW w:w="6822" w:type="dxa"/>
                  <w:gridSpan w:val="5"/>
                  <w:tcBorders>
                    <w:top w:val="nil"/>
                    <w:left w:val="nil"/>
                    <w:bottom w:val="nil"/>
                    <w:right w:val="nil"/>
                  </w:tcBorders>
                  <w:shd w:val="clear" w:color="auto" w:fill="auto"/>
                  <w:hideMark/>
                </w:tcPr>
                <w:p w14:paraId="505A58CA" w14:textId="77777777" w:rsidR="00A7492E" w:rsidRPr="00A7492E" w:rsidRDefault="00A7492E" w:rsidP="00A7492E">
                  <w:pPr>
                    <w:spacing w:after="0" w:line="240" w:lineRule="auto"/>
                    <w:jc w:val="center"/>
                    <w:rPr>
                      <w:rFonts w:ascii="Arial" w:eastAsia="Times New Roman" w:hAnsi="Arial" w:cs="Arial"/>
                      <w:color w:val="000000"/>
                      <w:sz w:val="20"/>
                      <w:szCs w:val="20"/>
                    </w:rPr>
                  </w:pPr>
                  <w:r w:rsidRPr="00A7492E">
                    <w:rPr>
                      <w:rFonts w:ascii="Arial" w:eastAsia="Times New Roman" w:hAnsi="Arial" w:cs="Arial"/>
                      <w:color w:val="000000"/>
                      <w:sz w:val="20"/>
                      <w:szCs w:val="20"/>
                    </w:rPr>
                    <w:t xml:space="preserve">IPEDS Fall 2015 </w:t>
                  </w:r>
                  <w:r w:rsidRPr="00A7492E">
                    <w:rPr>
                      <w:rFonts w:ascii="Arial" w:eastAsia="Times New Roman" w:hAnsi="Arial" w:cs="Arial"/>
                      <w:b/>
                      <w:color w:val="000000"/>
                      <w:sz w:val="20"/>
                      <w:szCs w:val="20"/>
                    </w:rPr>
                    <w:t>Employee Headcount</w:t>
                  </w:r>
                </w:p>
              </w:tc>
            </w:tr>
            <w:tr w:rsidR="00A7492E" w:rsidRPr="00A7492E" w14:paraId="700A74DA" w14:textId="77777777" w:rsidTr="007B0929">
              <w:trPr>
                <w:trHeight w:val="255"/>
              </w:trPr>
              <w:tc>
                <w:tcPr>
                  <w:tcW w:w="6822" w:type="dxa"/>
                  <w:gridSpan w:val="5"/>
                  <w:tcBorders>
                    <w:top w:val="nil"/>
                    <w:left w:val="nil"/>
                    <w:bottom w:val="nil"/>
                    <w:right w:val="nil"/>
                  </w:tcBorders>
                  <w:shd w:val="clear" w:color="auto" w:fill="auto"/>
                  <w:hideMark/>
                </w:tcPr>
                <w:p w14:paraId="5462DECE" w14:textId="77777777" w:rsidR="00A7492E" w:rsidRPr="00A7492E" w:rsidRDefault="00A7492E" w:rsidP="00A7492E">
                  <w:pPr>
                    <w:spacing w:after="0" w:line="240" w:lineRule="auto"/>
                    <w:jc w:val="center"/>
                    <w:rPr>
                      <w:rFonts w:ascii="Arial" w:eastAsia="Times New Roman" w:hAnsi="Arial" w:cs="Arial"/>
                      <w:color w:val="000000"/>
                      <w:sz w:val="20"/>
                      <w:szCs w:val="20"/>
                    </w:rPr>
                  </w:pPr>
                  <w:r w:rsidRPr="00A7492E">
                    <w:rPr>
                      <w:rFonts w:ascii="Arial" w:eastAsia="Times New Roman" w:hAnsi="Arial" w:cs="Arial"/>
                      <w:color w:val="000000"/>
                      <w:sz w:val="20"/>
                      <w:szCs w:val="20"/>
                    </w:rPr>
                    <w:t>Excludes Graduate Assistants</w:t>
                  </w:r>
                  <w:r w:rsidR="00EE570D" w:rsidRPr="00EE570D">
                    <w:rPr>
                      <w:rFonts w:ascii="Arial" w:eastAsia="Times New Roman" w:hAnsi="Arial" w:cs="Arial"/>
                      <w:b/>
                      <w:color w:val="000000"/>
                      <w:sz w:val="20"/>
                      <w:szCs w:val="20"/>
                    </w:rPr>
                    <w:t>*</w:t>
                  </w:r>
                  <w:r w:rsidR="00EE570D">
                    <w:rPr>
                      <w:rFonts w:ascii="Arial" w:eastAsia="Times New Roman" w:hAnsi="Arial" w:cs="Arial"/>
                      <w:color w:val="000000"/>
                      <w:sz w:val="20"/>
                      <w:szCs w:val="20"/>
                    </w:rPr>
                    <w:t>, Skilled Tradespersons and Maintenance Workers</w:t>
                  </w:r>
                </w:p>
              </w:tc>
            </w:tr>
            <w:tr w:rsidR="00A7492E" w:rsidRPr="00A7492E" w14:paraId="4F708761" w14:textId="77777777" w:rsidTr="007B0929">
              <w:trPr>
                <w:trHeight w:val="270"/>
              </w:trPr>
              <w:tc>
                <w:tcPr>
                  <w:tcW w:w="1630" w:type="dxa"/>
                  <w:tcBorders>
                    <w:top w:val="nil"/>
                    <w:left w:val="nil"/>
                    <w:bottom w:val="nil"/>
                    <w:right w:val="nil"/>
                  </w:tcBorders>
                  <w:shd w:val="clear" w:color="auto" w:fill="auto"/>
                  <w:noWrap/>
                  <w:vAlign w:val="bottom"/>
                  <w:hideMark/>
                </w:tcPr>
                <w:p w14:paraId="5C31BE3D" w14:textId="77777777" w:rsidR="00A7492E" w:rsidRPr="00A7492E" w:rsidRDefault="00A7492E" w:rsidP="00A7492E">
                  <w:pPr>
                    <w:spacing w:after="0" w:line="240" w:lineRule="auto"/>
                    <w:jc w:val="center"/>
                    <w:rPr>
                      <w:rFonts w:ascii="Arial" w:eastAsia="Times New Roman" w:hAnsi="Arial" w:cs="Arial"/>
                      <w:color w:val="000000"/>
                      <w:sz w:val="20"/>
                      <w:szCs w:val="20"/>
                    </w:rPr>
                  </w:pPr>
                </w:p>
              </w:tc>
              <w:tc>
                <w:tcPr>
                  <w:tcW w:w="1232" w:type="dxa"/>
                  <w:tcBorders>
                    <w:top w:val="nil"/>
                    <w:left w:val="nil"/>
                    <w:bottom w:val="nil"/>
                    <w:right w:val="nil"/>
                  </w:tcBorders>
                  <w:shd w:val="clear" w:color="auto" w:fill="auto"/>
                  <w:noWrap/>
                  <w:vAlign w:val="bottom"/>
                  <w:hideMark/>
                </w:tcPr>
                <w:p w14:paraId="7B5C0B7D" w14:textId="77777777" w:rsidR="00A7492E" w:rsidRPr="00A7492E" w:rsidRDefault="00A7492E" w:rsidP="00A7492E">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1531B8BE" w14:textId="77777777" w:rsidR="00A7492E" w:rsidRPr="00A7492E" w:rsidRDefault="00A7492E" w:rsidP="00A7492E">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2F890E17" w14:textId="77777777" w:rsidR="00A7492E" w:rsidRPr="00A7492E" w:rsidRDefault="00A7492E" w:rsidP="00A7492E">
                  <w:pPr>
                    <w:spacing w:after="0" w:line="240" w:lineRule="auto"/>
                    <w:jc w:val="right"/>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37EE639E" w14:textId="77777777" w:rsidR="00A7492E" w:rsidRPr="00A7492E" w:rsidRDefault="00A7492E" w:rsidP="00A7492E">
                  <w:pPr>
                    <w:spacing w:after="0" w:line="240" w:lineRule="auto"/>
                    <w:jc w:val="right"/>
                    <w:rPr>
                      <w:rFonts w:ascii="Times New Roman" w:eastAsia="Times New Roman" w:hAnsi="Times New Roman" w:cs="Times New Roman"/>
                      <w:sz w:val="20"/>
                      <w:szCs w:val="20"/>
                    </w:rPr>
                  </w:pPr>
                </w:p>
              </w:tc>
            </w:tr>
            <w:tr w:rsidR="00A7492E" w:rsidRPr="00A7492E" w14:paraId="50678210" w14:textId="77777777" w:rsidTr="007B0929">
              <w:trPr>
                <w:trHeight w:val="300"/>
              </w:trPr>
              <w:tc>
                <w:tcPr>
                  <w:tcW w:w="2862" w:type="dxa"/>
                  <w:gridSpan w:val="2"/>
                  <w:tcBorders>
                    <w:top w:val="single" w:sz="4" w:space="0" w:color="auto"/>
                    <w:left w:val="single" w:sz="4" w:space="0" w:color="auto"/>
                    <w:bottom w:val="single" w:sz="4" w:space="0" w:color="auto"/>
                    <w:right w:val="nil"/>
                  </w:tcBorders>
                  <w:shd w:val="clear" w:color="auto" w:fill="EAF1DD" w:themeFill="accent3" w:themeFillTint="33"/>
                  <w:hideMark/>
                </w:tcPr>
                <w:p w14:paraId="2B066C0E"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 </w:t>
                  </w:r>
                  <w:bookmarkStart w:id="0" w:name="_GoBack"/>
                  <w:bookmarkEnd w:id="0"/>
                </w:p>
              </w:tc>
              <w:tc>
                <w:tcPr>
                  <w:tcW w:w="1170" w:type="dxa"/>
                  <w:tcBorders>
                    <w:top w:val="single" w:sz="4" w:space="0" w:color="auto"/>
                    <w:left w:val="single" w:sz="4" w:space="0" w:color="auto"/>
                    <w:bottom w:val="single" w:sz="4" w:space="0" w:color="auto"/>
                    <w:right w:val="nil"/>
                  </w:tcBorders>
                  <w:shd w:val="clear" w:color="auto" w:fill="auto"/>
                  <w:hideMark/>
                </w:tcPr>
                <w:p w14:paraId="306C2A6E" w14:textId="77777777" w:rsidR="00A7492E" w:rsidRPr="00A7492E" w:rsidRDefault="00A7492E" w:rsidP="00A7492E">
                  <w:pPr>
                    <w:spacing w:after="0" w:line="240" w:lineRule="auto"/>
                    <w:jc w:val="right"/>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Full-time</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0A49388" w14:textId="77777777" w:rsidR="00A7492E" w:rsidRPr="00A7492E" w:rsidRDefault="00A7492E" w:rsidP="00A7492E">
                  <w:pPr>
                    <w:spacing w:after="0" w:line="240" w:lineRule="auto"/>
                    <w:jc w:val="right"/>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Part-time</w:t>
                  </w:r>
                </w:p>
              </w:tc>
              <w:tc>
                <w:tcPr>
                  <w:tcW w:w="1350" w:type="dxa"/>
                  <w:tcBorders>
                    <w:top w:val="single" w:sz="4" w:space="0" w:color="auto"/>
                    <w:left w:val="nil"/>
                    <w:bottom w:val="single" w:sz="4" w:space="0" w:color="auto"/>
                    <w:right w:val="single" w:sz="4" w:space="0" w:color="auto"/>
                  </w:tcBorders>
                  <w:shd w:val="clear" w:color="auto" w:fill="auto"/>
                  <w:hideMark/>
                </w:tcPr>
                <w:p w14:paraId="04BC8C85" w14:textId="77777777" w:rsidR="00A7492E" w:rsidRPr="00A7492E" w:rsidRDefault="00A7492E" w:rsidP="00A7492E">
                  <w:pPr>
                    <w:spacing w:after="0" w:line="240" w:lineRule="auto"/>
                    <w:jc w:val="right"/>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Total</w:t>
                  </w:r>
                </w:p>
              </w:tc>
            </w:tr>
            <w:tr w:rsidR="00A7492E" w:rsidRPr="00A7492E" w14:paraId="223909E0" w14:textId="77777777" w:rsidTr="007B0929">
              <w:trPr>
                <w:trHeight w:val="255"/>
              </w:trPr>
              <w:tc>
                <w:tcPr>
                  <w:tcW w:w="1630" w:type="dxa"/>
                  <w:vMerge w:val="restart"/>
                  <w:tcBorders>
                    <w:top w:val="nil"/>
                    <w:left w:val="single" w:sz="4" w:space="0" w:color="auto"/>
                    <w:bottom w:val="single" w:sz="4" w:space="0" w:color="000000"/>
                    <w:right w:val="nil"/>
                  </w:tcBorders>
                  <w:shd w:val="clear" w:color="auto" w:fill="EAF1DD" w:themeFill="accent3" w:themeFillTint="33"/>
                  <w:hideMark/>
                </w:tcPr>
                <w:p w14:paraId="2DF57F0C"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MILWAUKEE</w:t>
                  </w:r>
                </w:p>
              </w:tc>
              <w:tc>
                <w:tcPr>
                  <w:tcW w:w="1232" w:type="dxa"/>
                  <w:tcBorders>
                    <w:top w:val="nil"/>
                    <w:left w:val="single" w:sz="4" w:space="0" w:color="auto"/>
                    <w:bottom w:val="nil"/>
                    <w:right w:val="single" w:sz="4" w:space="0" w:color="auto"/>
                  </w:tcBorders>
                  <w:shd w:val="clear" w:color="auto" w:fill="EAF1DD" w:themeFill="accent3" w:themeFillTint="33"/>
                  <w:hideMark/>
                </w:tcPr>
                <w:p w14:paraId="3E17C407"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Faculty</w:t>
                  </w:r>
                </w:p>
              </w:tc>
              <w:tc>
                <w:tcPr>
                  <w:tcW w:w="1170" w:type="dxa"/>
                  <w:tcBorders>
                    <w:top w:val="single" w:sz="4" w:space="0" w:color="auto"/>
                    <w:left w:val="nil"/>
                    <w:bottom w:val="nil"/>
                    <w:right w:val="nil"/>
                  </w:tcBorders>
                  <w:shd w:val="clear" w:color="auto" w:fill="auto"/>
                  <w:noWrap/>
                  <w:vAlign w:val="bottom"/>
                  <w:hideMark/>
                </w:tcPr>
                <w:p w14:paraId="30C82420"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1,080</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091EA277"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491</w:t>
                  </w:r>
                </w:p>
              </w:tc>
              <w:tc>
                <w:tcPr>
                  <w:tcW w:w="1350" w:type="dxa"/>
                  <w:tcBorders>
                    <w:top w:val="single" w:sz="4" w:space="0" w:color="auto"/>
                    <w:left w:val="nil"/>
                    <w:bottom w:val="nil"/>
                    <w:right w:val="single" w:sz="4" w:space="0" w:color="auto"/>
                  </w:tcBorders>
                  <w:shd w:val="clear" w:color="auto" w:fill="auto"/>
                  <w:noWrap/>
                  <w:vAlign w:val="bottom"/>
                  <w:hideMark/>
                </w:tcPr>
                <w:p w14:paraId="774B639A"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1,571</w:t>
                  </w:r>
                </w:p>
              </w:tc>
            </w:tr>
            <w:tr w:rsidR="00A7492E" w:rsidRPr="00A7492E" w14:paraId="72D6405C" w14:textId="77777777" w:rsidTr="007B0929">
              <w:trPr>
                <w:trHeight w:val="255"/>
              </w:trPr>
              <w:tc>
                <w:tcPr>
                  <w:tcW w:w="1630" w:type="dxa"/>
                  <w:vMerge/>
                  <w:tcBorders>
                    <w:top w:val="nil"/>
                    <w:left w:val="single" w:sz="4" w:space="0" w:color="auto"/>
                    <w:bottom w:val="single" w:sz="4" w:space="0" w:color="000000"/>
                    <w:right w:val="nil"/>
                  </w:tcBorders>
                  <w:shd w:val="clear" w:color="auto" w:fill="EAF1DD" w:themeFill="accent3" w:themeFillTint="33"/>
                  <w:vAlign w:val="center"/>
                  <w:hideMark/>
                </w:tcPr>
                <w:p w14:paraId="013CA4D4" w14:textId="77777777" w:rsidR="00A7492E" w:rsidRPr="00A7492E" w:rsidRDefault="00A7492E" w:rsidP="00A7492E">
                  <w:pPr>
                    <w:spacing w:after="0" w:line="240" w:lineRule="auto"/>
                    <w:rPr>
                      <w:rFonts w:ascii="Arial" w:eastAsia="Times New Roman" w:hAnsi="Arial" w:cs="Arial"/>
                      <w:b/>
                      <w:bCs/>
                      <w:color w:val="000000"/>
                      <w:sz w:val="20"/>
                      <w:szCs w:val="20"/>
                    </w:rPr>
                  </w:pPr>
                </w:p>
              </w:tc>
              <w:tc>
                <w:tcPr>
                  <w:tcW w:w="1232" w:type="dxa"/>
                  <w:tcBorders>
                    <w:top w:val="nil"/>
                    <w:left w:val="single" w:sz="4" w:space="0" w:color="auto"/>
                    <w:bottom w:val="single" w:sz="4" w:space="0" w:color="auto"/>
                    <w:right w:val="single" w:sz="4" w:space="0" w:color="auto"/>
                  </w:tcBorders>
                  <w:shd w:val="clear" w:color="auto" w:fill="EAF1DD" w:themeFill="accent3" w:themeFillTint="33"/>
                  <w:hideMark/>
                </w:tcPr>
                <w:p w14:paraId="0E8C1350"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Staff</w:t>
                  </w:r>
                </w:p>
              </w:tc>
              <w:tc>
                <w:tcPr>
                  <w:tcW w:w="1170" w:type="dxa"/>
                  <w:tcBorders>
                    <w:top w:val="nil"/>
                    <w:left w:val="nil"/>
                    <w:bottom w:val="single" w:sz="4" w:space="0" w:color="auto"/>
                    <w:right w:val="nil"/>
                  </w:tcBorders>
                  <w:shd w:val="clear" w:color="auto" w:fill="auto"/>
                  <w:noWrap/>
                  <w:vAlign w:val="bottom"/>
                  <w:hideMark/>
                </w:tcPr>
                <w:p w14:paraId="2ECDA3AE"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1,557</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20D115C"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231</w:t>
                  </w:r>
                </w:p>
              </w:tc>
              <w:tc>
                <w:tcPr>
                  <w:tcW w:w="1350" w:type="dxa"/>
                  <w:tcBorders>
                    <w:top w:val="nil"/>
                    <w:left w:val="nil"/>
                    <w:bottom w:val="single" w:sz="4" w:space="0" w:color="auto"/>
                    <w:right w:val="single" w:sz="4" w:space="0" w:color="auto"/>
                  </w:tcBorders>
                  <w:shd w:val="clear" w:color="auto" w:fill="auto"/>
                  <w:noWrap/>
                  <w:vAlign w:val="bottom"/>
                  <w:hideMark/>
                </w:tcPr>
                <w:p w14:paraId="6A5FA8A9"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1,788</w:t>
                  </w:r>
                </w:p>
              </w:tc>
            </w:tr>
            <w:tr w:rsidR="00A7492E" w:rsidRPr="00A7492E" w14:paraId="293A8CBD" w14:textId="77777777" w:rsidTr="007B0929">
              <w:trPr>
                <w:trHeight w:val="255"/>
              </w:trPr>
              <w:tc>
                <w:tcPr>
                  <w:tcW w:w="1630" w:type="dxa"/>
                  <w:vMerge w:val="restart"/>
                  <w:tcBorders>
                    <w:top w:val="nil"/>
                    <w:left w:val="single" w:sz="4" w:space="0" w:color="auto"/>
                    <w:bottom w:val="single" w:sz="4" w:space="0" w:color="000000"/>
                    <w:right w:val="nil"/>
                  </w:tcBorders>
                  <w:shd w:val="clear" w:color="auto" w:fill="EAF1DD" w:themeFill="accent3" w:themeFillTint="33"/>
                  <w:hideMark/>
                </w:tcPr>
                <w:p w14:paraId="206FED3B"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EAU CLAIRE</w:t>
                  </w:r>
                </w:p>
              </w:tc>
              <w:tc>
                <w:tcPr>
                  <w:tcW w:w="1232" w:type="dxa"/>
                  <w:tcBorders>
                    <w:top w:val="single" w:sz="4" w:space="0" w:color="auto"/>
                    <w:left w:val="single" w:sz="4" w:space="0" w:color="auto"/>
                    <w:bottom w:val="nil"/>
                    <w:right w:val="single" w:sz="4" w:space="0" w:color="auto"/>
                  </w:tcBorders>
                  <w:shd w:val="clear" w:color="auto" w:fill="EAF1DD" w:themeFill="accent3" w:themeFillTint="33"/>
                  <w:hideMark/>
                </w:tcPr>
                <w:p w14:paraId="00ECA1D1"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Faculty</w:t>
                  </w:r>
                </w:p>
              </w:tc>
              <w:tc>
                <w:tcPr>
                  <w:tcW w:w="1170" w:type="dxa"/>
                  <w:tcBorders>
                    <w:top w:val="single" w:sz="4" w:space="0" w:color="auto"/>
                    <w:left w:val="nil"/>
                    <w:bottom w:val="nil"/>
                    <w:right w:val="nil"/>
                  </w:tcBorders>
                  <w:shd w:val="clear" w:color="auto" w:fill="auto"/>
                  <w:noWrap/>
                  <w:vAlign w:val="bottom"/>
                  <w:hideMark/>
                </w:tcPr>
                <w:p w14:paraId="110876F1"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449</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0CC7AEE2"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60</w:t>
                  </w:r>
                </w:p>
              </w:tc>
              <w:tc>
                <w:tcPr>
                  <w:tcW w:w="1350" w:type="dxa"/>
                  <w:tcBorders>
                    <w:top w:val="single" w:sz="4" w:space="0" w:color="auto"/>
                    <w:left w:val="nil"/>
                    <w:bottom w:val="nil"/>
                    <w:right w:val="single" w:sz="4" w:space="0" w:color="auto"/>
                  </w:tcBorders>
                  <w:shd w:val="clear" w:color="auto" w:fill="auto"/>
                  <w:noWrap/>
                  <w:vAlign w:val="bottom"/>
                  <w:hideMark/>
                </w:tcPr>
                <w:p w14:paraId="638CBCF9"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509</w:t>
                  </w:r>
                </w:p>
              </w:tc>
            </w:tr>
            <w:tr w:rsidR="00A7492E" w:rsidRPr="00A7492E" w14:paraId="5B1C4561" w14:textId="77777777" w:rsidTr="007B0929">
              <w:trPr>
                <w:trHeight w:val="255"/>
              </w:trPr>
              <w:tc>
                <w:tcPr>
                  <w:tcW w:w="1630" w:type="dxa"/>
                  <w:vMerge/>
                  <w:tcBorders>
                    <w:top w:val="nil"/>
                    <w:left w:val="single" w:sz="4" w:space="0" w:color="auto"/>
                    <w:bottom w:val="single" w:sz="4" w:space="0" w:color="000000"/>
                    <w:right w:val="nil"/>
                  </w:tcBorders>
                  <w:shd w:val="clear" w:color="auto" w:fill="EAF1DD" w:themeFill="accent3" w:themeFillTint="33"/>
                  <w:vAlign w:val="center"/>
                  <w:hideMark/>
                </w:tcPr>
                <w:p w14:paraId="4635FC96" w14:textId="77777777" w:rsidR="00A7492E" w:rsidRPr="00A7492E" w:rsidRDefault="00A7492E" w:rsidP="00A7492E">
                  <w:pPr>
                    <w:spacing w:after="0" w:line="240" w:lineRule="auto"/>
                    <w:rPr>
                      <w:rFonts w:ascii="Arial" w:eastAsia="Times New Roman" w:hAnsi="Arial" w:cs="Arial"/>
                      <w:b/>
                      <w:bCs/>
                      <w:color w:val="000000"/>
                      <w:sz w:val="20"/>
                      <w:szCs w:val="20"/>
                    </w:rPr>
                  </w:pPr>
                </w:p>
              </w:tc>
              <w:tc>
                <w:tcPr>
                  <w:tcW w:w="1232" w:type="dxa"/>
                  <w:tcBorders>
                    <w:top w:val="nil"/>
                    <w:left w:val="single" w:sz="4" w:space="0" w:color="auto"/>
                    <w:bottom w:val="single" w:sz="4" w:space="0" w:color="auto"/>
                    <w:right w:val="single" w:sz="4" w:space="0" w:color="auto"/>
                  </w:tcBorders>
                  <w:shd w:val="clear" w:color="auto" w:fill="EAF1DD" w:themeFill="accent3" w:themeFillTint="33"/>
                  <w:hideMark/>
                </w:tcPr>
                <w:p w14:paraId="2027DCBD"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Staff</w:t>
                  </w:r>
                </w:p>
              </w:tc>
              <w:tc>
                <w:tcPr>
                  <w:tcW w:w="1170" w:type="dxa"/>
                  <w:tcBorders>
                    <w:top w:val="nil"/>
                    <w:left w:val="nil"/>
                    <w:bottom w:val="nil"/>
                    <w:right w:val="nil"/>
                  </w:tcBorders>
                  <w:shd w:val="clear" w:color="auto" w:fill="auto"/>
                  <w:noWrap/>
                  <w:vAlign w:val="bottom"/>
                  <w:hideMark/>
                </w:tcPr>
                <w:p w14:paraId="344BF4C2"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430</w:t>
                  </w:r>
                </w:p>
              </w:tc>
              <w:tc>
                <w:tcPr>
                  <w:tcW w:w="1440" w:type="dxa"/>
                  <w:tcBorders>
                    <w:top w:val="nil"/>
                    <w:left w:val="single" w:sz="4" w:space="0" w:color="auto"/>
                    <w:bottom w:val="nil"/>
                    <w:right w:val="single" w:sz="4" w:space="0" w:color="auto"/>
                  </w:tcBorders>
                  <w:shd w:val="clear" w:color="auto" w:fill="auto"/>
                  <w:noWrap/>
                  <w:vAlign w:val="bottom"/>
                  <w:hideMark/>
                </w:tcPr>
                <w:p w14:paraId="60F995DC"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84</w:t>
                  </w:r>
                </w:p>
              </w:tc>
              <w:tc>
                <w:tcPr>
                  <w:tcW w:w="1350" w:type="dxa"/>
                  <w:tcBorders>
                    <w:top w:val="nil"/>
                    <w:left w:val="nil"/>
                    <w:bottom w:val="nil"/>
                    <w:right w:val="single" w:sz="4" w:space="0" w:color="auto"/>
                  </w:tcBorders>
                  <w:shd w:val="clear" w:color="auto" w:fill="auto"/>
                  <w:noWrap/>
                  <w:vAlign w:val="bottom"/>
                  <w:hideMark/>
                </w:tcPr>
                <w:p w14:paraId="61F6FB87"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514</w:t>
                  </w:r>
                </w:p>
              </w:tc>
            </w:tr>
            <w:tr w:rsidR="00A7492E" w:rsidRPr="00A7492E" w14:paraId="02C92C48" w14:textId="77777777" w:rsidTr="007B0929">
              <w:trPr>
                <w:trHeight w:val="255"/>
              </w:trPr>
              <w:tc>
                <w:tcPr>
                  <w:tcW w:w="1630" w:type="dxa"/>
                  <w:vMerge w:val="restart"/>
                  <w:tcBorders>
                    <w:top w:val="nil"/>
                    <w:left w:val="single" w:sz="4" w:space="0" w:color="auto"/>
                    <w:bottom w:val="single" w:sz="4" w:space="0" w:color="000000"/>
                    <w:right w:val="nil"/>
                  </w:tcBorders>
                  <w:shd w:val="clear" w:color="auto" w:fill="EAF1DD" w:themeFill="accent3" w:themeFillTint="33"/>
                  <w:hideMark/>
                </w:tcPr>
                <w:p w14:paraId="669E842F"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GREEN BAY</w:t>
                  </w:r>
                </w:p>
              </w:tc>
              <w:tc>
                <w:tcPr>
                  <w:tcW w:w="1232" w:type="dxa"/>
                  <w:tcBorders>
                    <w:top w:val="single" w:sz="4" w:space="0" w:color="auto"/>
                    <w:left w:val="single" w:sz="4" w:space="0" w:color="auto"/>
                    <w:bottom w:val="nil"/>
                    <w:right w:val="single" w:sz="4" w:space="0" w:color="auto"/>
                  </w:tcBorders>
                  <w:shd w:val="clear" w:color="auto" w:fill="EAF1DD" w:themeFill="accent3" w:themeFillTint="33"/>
                  <w:hideMark/>
                </w:tcPr>
                <w:p w14:paraId="6A41F921"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Faculty</w:t>
                  </w:r>
                </w:p>
              </w:tc>
              <w:tc>
                <w:tcPr>
                  <w:tcW w:w="1170" w:type="dxa"/>
                  <w:tcBorders>
                    <w:top w:val="single" w:sz="4" w:space="0" w:color="auto"/>
                    <w:left w:val="nil"/>
                    <w:bottom w:val="nil"/>
                    <w:right w:val="nil"/>
                  </w:tcBorders>
                  <w:shd w:val="clear" w:color="auto" w:fill="auto"/>
                  <w:noWrap/>
                  <w:vAlign w:val="bottom"/>
                  <w:hideMark/>
                </w:tcPr>
                <w:p w14:paraId="7FFF6311"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186</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03887B97"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82</w:t>
                  </w:r>
                </w:p>
              </w:tc>
              <w:tc>
                <w:tcPr>
                  <w:tcW w:w="1350" w:type="dxa"/>
                  <w:tcBorders>
                    <w:top w:val="single" w:sz="4" w:space="0" w:color="auto"/>
                    <w:left w:val="nil"/>
                    <w:bottom w:val="nil"/>
                    <w:right w:val="single" w:sz="4" w:space="0" w:color="auto"/>
                  </w:tcBorders>
                  <w:shd w:val="clear" w:color="auto" w:fill="auto"/>
                  <w:noWrap/>
                  <w:vAlign w:val="bottom"/>
                  <w:hideMark/>
                </w:tcPr>
                <w:p w14:paraId="25F9FF70"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268</w:t>
                  </w:r>
                </w:p>
              </w:tc>
            </w:tr>
            <w:tr w:rsidR="00A7492E" w:rsidRPr="00A7492E" w14:paraId="0CE45698" w14:textId="77777777" w:rsidTr="007B0929">
              <w:trPr>
                <w:trHeight w:val="255"/>
              </w:trPr>
              <w:tc>
                <w:tcPr>
                  <w:tcW w:w="1630" w:type="dxa"/>
                  <w:vMerge/>
                  <w:tcBorders>
                    <w:top w:val="nil"/>
                    <w:left w:val="single" w:sz="4" w:space="0" w:color="auto"/>
                    <w:bottom w:val="single" w:sz="4" w:space="0" w:color="000000"/>
                    <w:right w:val="nil"/>
                  </w:tcBorders>
                  <w:shd w:val="clear" w:color="auto" w:fill="EAF1DD" w:themeFill="accent3" w:themeFillTint="33"/>
                  <w:vAlign w:val="center"/>
                  <w:hideMark/>
                </w:tcPr>
                <w:p w14:paraId="7AB4694B" w14:textId="77777777" w:rsidR="00A7492E" w:rsidRPr="00A7492E" w:rsidRDefault="00A7492E" w:rsidP="00A7492E">
                  <w:pPr>
                    <w:spacing w:after="0" w:line="240" w:lineRule="auto"/>
                    <w:rPr>
                      <w:rFonts w:ascii="Arial" w:eastAsia="Times New Roman" w:hAnsi="Arial" w:cs="Arial"/>
                      <w:b/>
                      <w:bCs/>
                      <w:color w:val="000000"/>
                      <w:sz w:val="20"/>
                      <w:szCs w:val="20"/>
                    </w:rPr>
                  </w:pPr>
                </w:p>
              </w:tc>
              <w:tc>
                <w:tcPr>
                  <w:tcW w:w="1232" w:type="dxa"/>
                  <w:tcBorders>
                    <w:top w:val="nil"/>
                    <w:left w:val="single" w:sz="4" w:space="0" w:color="auto"/>
                    <w:bottom w:val="single" w:sz="4" w:space="0" w:color="auto"/>
                    <w:right w:val="single" w:sz="4" w:space="0" w:color="auto"/>
                  </w:tcBorders>
                  <w:shd w:val="clear" w:color="auto" w:fill="EAF1DD" w:themeFill="accent3" w:themeFillTint="33"/>
                  <w:hideMark/>
                </w:tcPr>
                <w:p w14:paraId="763869B7"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Staff</w:t>
                  </w:r>
                </w:p>
              </w:tc>
              <w:tc>
                <w:tcPr>
                  <w:tcW w:w="1170" w:type="dxa"/>
                  <w:tcBorders>
                    <w:top w:val="nil"/>
                    <w:left w:val="nil"/>
                    <w:bottom w:val="single" w:sz="4" w:space="0" w:color="auto"/>
                    <w:right w:val="nil"/>
                  </w:tcBorders>
                  <w:shd w:val="clear" w:color="auto" w:fill="auto"/>
                  <w:noWrap/>
                  <w:vAlign w:val="bottom"/>
                  <w:hideMark/>
                </w:tcPr>
                <w:p w14:paraId="6D3C91FB"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286</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7B937CE"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51</w:t>
                  </w:r>
                </w:p>
              </w:tc>
              <w:tc>
                <w:tcPr>
                  <w:tcW w:w="1350" w:type="dxa"/>
                  <w:tcBorders>
                    <w:top w:val="nil"/>
                    <w:left w:val="nil"/>
                    <w:bottom w:val="single" w:sz="4" w:space="0" w:color="auto"/>
                    <w:right w:val="single" w:sz="4" w:space="0" w:color="auto"/>
                  </w:tcBorders>
                  <w:shd w:val="clear" w:color="auto" w:fill="auto"/>
                  <w:noWrap/>
                  <w:vAlign w:val="bottom"/>
                  <w:hideMark/>
                </w:tcPr>
                <w:p w14:paraId="279EA9C9"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337</w:t>
                  </w:r>
                </w:p>
              </w:tc>
            </w:tr>
            <w:tr w:rsidR="00A7492E" w:rsidRPr="00A7492E" w14:paraId="6AD7E37D" w14:textId="77777777" w:rsidTr="007B0929">
              <w:trPr>
                <w:trHeight w:val="255"/>
              </w:trPr>
              <w:tc>
                <w:tcPr>
                  <w:tcW w:w="1630" w:type="dxa"/>
                  <w:vMerge w:val="restart"/>
                  <w:tcBorders>
                    <w:top w:val="nil"/>
                    <w:left w:val="single" w:sz="4" w:space="0" w:color="auto"/>
                    <w:bottom w:val="single" w:sz="4" w:space="0" w:color="000000"/>
                    <w:right w:val="nil"/>
                  </w:tcBorders>
                  <w:shd w:val="clear" w:color="auto" w:fill="EAF1DD" w:themeFill="accent3" w:themeFillTint="33"/>
                  <w:hideMark/>
                </w:tcPr>
                <w:p w14:paraId="2EDABF24"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LA CROSSE</w:t>
                  </w:r>
                </w:p>
              </w:tc>
              <w:tc>
                <w:tcPr>
                  <w:tcW w:w="1232" w:type="dxa"/>
                  <w:tcBorders>
                    <w:top w:val="single" w:sz="4" w:space="0" w:color="auto"/>
                    <w:left w:val="single" w:sz="4" w:space="0" w:color="auto"/>
                    <w:bottom w:val="nil"/>
                    <w:right w:val="single" w:sz="4" w:space="0" w:color="auto"/>
                  </w:tcBorders>
                  <w:shd w:val="clear" w:color="auto" w:fill="EAF1DD" w:themeFill="accent3" w:themeFillTint="33"/>
                  <w:hideMark/>
                </w:tcPr>
                <w:p w14:paraId="18E38B37"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Faculty</w:t>
                  </w:r>
                </w:p>
              </w:tc>
              <w:tc>
                <w:tcPr>
                  <w:tcW w:w="1170" w:type="dxa"/>
                  <w:tcBorders>
                    <w:top w:val="single" w:sz="4" w:space="0" w:color="auto"/>
                    <w:left w:val="nil"/>
                    <w:bottom w:val="nil"/>
                    <w:right w:val="nil"/>
                  </w:tcBorders>
                  <w:shd w:val="clear" w:color="auto" w:fill="auto"/>
                  <w:noWrap/>
                  <w:vAlign w:val="bottom"/>
                  <w:hideMark/>
                </w:tcPr>
                <w:p w14:paraId="6C608D3A"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517</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4F16D884"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66</w:t>
                  </w:r>
                </w:p>
              </w:tc>
              <w:tc>
                <w:tcPr>
                  <w:tcW w:w="1350" w:type="dxa"/>
                  <w:tcBorders>
                    <w:top w:val="single" w:sz="4" w:space="0" w:color="auto"/>
                    <w:left w:val="nil"/>
                    <w:bottom w:val="nil"/>
                    <w:right w:val="single" w:sz="4" w:space="0" w:color="auto"/>
                  </w:tcBorders>
                  <w:shd w:val="clear" w:color="auto" w:fill="auto"/>
                  <w:noWrap/>
                  <w:vAlign w:val="bottom"/>
                  <w:hideMark/>
                </w:tcPr>
                <w:p w14:paraId="3A7D0FE7"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583</w:t>
                  </w:r>
                </w:p>
              </w:tc>
            </w:tr>
            <w:tr w:rsidR="00A7492E" w:rsidRPr="00A7492E" w14:paraId="7F80EDC7" w14:textId="77777777" w:rsidTr="007B0929">
              <w:trPr>
                <w:trHeight w:val="255"/>
              </w:trPr>
              <w:tc>
                <w:tcPr>
                  <w:tcW w:w="1630" w:type="dxa"/>
                  <w:vMerge/>
                  <w:tcBorders>
                    <w:top w:val="nil"/>
                    <w:left w:val="single" w:sz="4" w:space="0" w:color="auto"/>
                    <w:bottom w:val="single" w:sz="4" w:space="0" w:color="000000"/>
                    <w:right w:val="nil"/>
                  </w:tcBorders>
                  <w:shd w:val="clear" w:color="auto" w:fill="EAF1DD" w:themeFill="accent3" w:themeFillTint="33"/>
                  <w:vAlign w:val="center"/>
                  <w:hideMark/>
                </w:tcPr>
                <w:p w14:paraId="773F12B1" w14:textId="77777777" w:rsidR="00A7492E" w:rsidRPr="00A7492E" w:rsidRDefault="00A7492E" w:rsidP="00A7492E">
                  <w:pPr>
                    <w:spacing w:after="0" w:line="240" w:lineRule="auto"/>
                    <w:rPr>
                      <w:rFonts w:ascii="Arial" w:eastAsia="Times New Roman" w:hAnsi="Arial" w:cs="Arial"/>
                      <w:b/>
                      <w:bCs/>
                      <w:color w:val="000000"/>
                      <w:sz w:val="20"/>
                      <w:szCs w:val="20"/>
                    </w:rPr>
                  </w:pPr>
                </w:p>
              </w:tc>
              <w:tc>
                <w:tcPr>
                  <w:tcW w:w="1232" w:type="dxa"/>
                  <w:tcBorders>
                    <w:top w:val="nil"/>
                    <w:left w:val="single" w:sz="4" w:space="0" w:color="auto"/>
                    <w:bottom w:val="single" w:sz="4" w:space="0" w:color="auto"/>
                    <w:right w:val="single" w:sz="4" w:space="0" w:color="auto"/>
                  </w:tcBorders>
                  <w:shd w:val="clear" w:color="auto" w:fill="EAF1DD" w:themeFill="accent3" w:themeFillTint="33"/>
                  <w:hideMark/>
                </w:tcPr>
                <w:p w14:paraId="49BCF9E0"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Staff</w:t>
                  </w:r>
                </w:p>
              </w:tc>
              <w:tc>
                <w:tcPr>
                  <w:tcW w:w="1170" w:type="dxa"/>
                  <w:tcBorders>
                    <w:top w:val="nil"/>
                    <w:left w:val="nil"/>
                    <w:bottom w:val="nil"/>
                    <w:right w:val="nil"/>
                  </w:tcBorders>
                  <w:shd w:val="clear" w:color="auto" w:fill="auto"/>
                  <w:noWrap/>
                  <w:vAlign w:val="bottom"/>
                  <w:hideMark/>
                </w:tcPr>
                <w:p w14:paraId="71CADDAA"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420</w:t>
                  </w:r>
                </w:p>
              </w:tc>
              <w:tc>
                <w:tcPr>
                  <w:tcW w:w="1440" w:type="dxa"/>
                  <w:tcBorders>
                    <w:top w:val="nil"/>
                    <w:left w:val="single" w:sz="4" w:space="0" w:color="auto"/>
                    <w:bottom w:val="nil"/>
                    <w:right w:val="single" w:sz="4" w:space="0" w:color="auto"/>
                  </w:tcBorders>
                  <w:shd w:val="clear" w:color="auto" w:fill="auto"/>
                  <w:noWrap/>
                  <w:vAlign w:val="bottom"/>
                  <w:hideMark/>
                </w:tcPr>
                <w:p w14:paraId="0EA6B40D"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97</w:t>
                  </w:r>
                </w:p>
              </w:tc>
              <w:tc>
                <w:tcPr>
                  <w:tcW w:w="1350" w:type="dxa"/>
                  <w:tcBorders>
                    <w:top w:val="nil"/>
                    <w:left w:val="nil"/>
                    <w:bottom w:val="nil"/>
                    <w:right w:val="single" w:sz="4" w:space="0" w:color="auto"/>
                  </w:tcBorders>
                  <w:shd w:val="clear" w:color="auto" w:fill="auto"/>
                  <w:noWrap/>
                  <w:vAlign w:val="bottom"/>
                  <w:hideMark/>
                </w:tcPr>
                <w:p w14:paraId="2C5622C7"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517</w:t>
                  </w:r>
                </w:p>
              </w:tc>
            </w:tr>
            <w:tr w:rsidR="00A7492E" w:rsidRPr="00A7492E" w14:paraId="015B26BE" w14:textId="77777777" w:rsidTr="007B0929">
              <w:trPr>
                <w:trHeight w:val="255"/>
              </w:trPr>
              <w:tc>
                <w:tcPr>
                  <w:tcW w:w="1630" w:type="dxa"/>
                  <w:vMerge w:val="restart"/>
                  <w:tcBorders>
                    <w:top w:val="nil"/>
                    <w:left w:val="single" w:sz="4" w:space="0" w:color="auto"/>
                    <w:bottom w:val="single" w:sz="4" w:space="0" w:color="000000"/>
                    <w:right w:val="nil"/>
                  </w:tcBorders>
                  <w:shd w:val="clear" w:color="auto" w:fill="EAF1DD" w:themeFill="accent3" w:themeFillTint="33"/>
                  <w:hideMark/>
                </w:tcPr>
                <w:p w14:paraId="102EE20F"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OSHKOSH</w:t>
                  </w:r>
                </w:p>
              </w:tc>
              <w:tc>
                <w:tcPr>
                  <w:tcW w:w="1232" w:type="dxa"/>
                  <w:tcBorders>
                    <w:top w:val="single" w:sz="4" w:space="0" w:color="auto"/>
                    <w:left w:val="single" w:sz="4" w:space="0" w:color="auto"/>
                    <w:bottom w:val="nil"/>
                    <w:right w:val="single" w:sz="4" w:space="0" w:color="auto"/>
                  </w:tcBorders>
                  <w:shd w:val="clear" w:color="auto" w:fill="EAF1DD" w:themeFill="accent3" w:themeFillTint="33"/>
                  <w:hideMark/>
                </w:tcPr>
                <w:p w14:paraId="71A3092D"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Faculty</w:t>
                  </w:r>
                </w:p>
              </w:tc>
              <w:tc>
                <w:tcPr>
                  <w:tcW w:w="1170" w:type="dxa"/>
                  <w:tcBorders>
                    <w:top w:val="single" w:sz="4" w:space="0" w:color="auto"/>
                    <w:left w:val="nil"/>
                    <w:bottom w:val="nil"/>
                    <w:right w:val="nil"/>
                  </w:tcBorders>
                  <w:shd w:val="clear" w:color="auto" w:fill="auto"/>
                  <w:noWrap/>
                  <w:vAlign w:val="bottom"/>
                  <w:hideMark/>
                </w:tcPr>
                <w:p w14:paraId="16A3F83D"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427</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2B76FD6D"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175</w:t>
                  </w:r>
                </w:p>
              </w:tc>
              <w:tc>
                <w:tcPr>
                  <w:tcW w:w="1350" w:type="dxa"/>
                  <w:tcBorders>
                    <w:top w:val="single" w:sz="4" w:space="0" w:color="auto"/>
                    <w:left w:val="nil"/>
                    <w:bottom w:val="nil"/>
                    <w:right w:val="single" w:sz="4" w:space="0" w:color="auto"/>
                  </w:tcBorders>
                  <w:shd w:val="clear" w:color="auto" w:fill="auto"/>
                  <w:noWrap/>
                  <w:vAlign w:val="bottom"/>
                  <w:hideMark/>
                </w:tcPr>
                <w:p w14:paraId="0EE4FA18"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602</w:t>
                  </w:r>
                </w:p>
              </w:tc>
            </w:tr>
            <w:tr w:rsidR="00A7492E" w:rsidRPr="00A7492E" w14:paraId="30980EEB" w14:textId="77777777" w:rsidTr="007B0929">
              <w:trPr>
                <w:trHeight w:val="255"/>
              </w:trPr>
              <w:tc>
                <w:tcPr>
                  <w:tcW w:w="1630" w:type="dxa"/>
                  <w:vMerge/>
                  <w:tcBorders>
                    <w:top w:val="nil"/>
                    <w:left w:val="single" w:sz="4" w:space="0" w:color="auto"/>
                    <w:bottom w:val="single" w:sz="4" w:space="0" w:color="000000"/>
                    <w:right w:val="nil"/>
                  </w:tcBorders>
                  <w:shd w:val="clear" w:color="auto" w:fill="EAF1DD" w:themeFill="accent3" w:themeFillTint="33"/>
                  <w:vAlign w:val="center"/>
                  <w:hideMark/>
                </w:tcPr>
                <w:p w14:paraId="20E9E718" w14:textId="77777777" w:rsidR="00A7492E" w:rsidRPr="00A7492E" w:rsidRDefault="00A7492E" w:rsidP="00A7492E">
                  <w:pPr>
                    <w:spacing w:after="0" w:line="240" w:lineRule="auto"/>
                    <w:rPr>
                      <w:rFonts w:ascii="Arial" w:eastAsia="Times New Roman" w:hAnsi="Arial" w:cs="Arial"/>
                      <w:b/>
                      <w:bCs/>
                      <w:color w:val="000000"/>
                      <w:sz w:val="20"/>
                      <w:szCs w:val="20"/>
                    </w:rPr>
                  </w:pPr>
                </w:p>
              </w:tc>
              <w:tc>
                <w:tcPr>
                  <w:tcW w:w="1232" w:type="dxa"/>
                  <w:tcBorders>
                    <w:top w:val="nil"/>
                    <w:left w:val="single" w:sz="4" w:space="0" w:color="auto"/>
                    <w:bottom w:val="single" w:sz="4" w:space="0" w:color="auto"/>
                    <w:right w:val="single" w:sz="4" w:space="0" w:color="auto"/>
                  </w:tcBorders>
                  <w:shd w:val="clear" w:color="auto" w:fill="EAF1DD" w:themeFill="accent3" w:themeFillTint="33"/>
                  <w:hideMark/>
                </w:tcPr>
                <w:p w14:paraId="485353AB"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Staff</w:t>
                  </w:r>
                </w:p>
              </w:tc>
              <w:tc>
                <w:tcPr>
                  <w:tcW w:w="1170" w:type="dxa"/>
                  <w:tcBorders>
                    <w:top w:val="nil"/>
                    <w:left w:val="nil"/>
                    <w:bottom w:val="single" w:sz="4" w:space="0" w:color="auto"/>
                    <w:right w:val="nil"/>
                  </w:tcBorders>
                  <w:shd w:val="clear" w:color="auto" w:fill="auto"/>
                  <w:noWrap/>
                  <w:vAlign w:val="bottom"/>
                  <w:hideMark/>
                </w:tcPr>
                <w:p w14:paraId="3FBDA532"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581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97737B1"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114</w:t>
                  </w:r>
                </w:p>
              </w:tc>
              <w:tc>
                <w:tcPr>
                  <w:tcW w:w="1350" w:type="dxa"/>
                  <w:tcBorders>
                    <w:top w:val="nil"/>
                    <w:left w:val="nil"/>
                    <w:bottom w:val="single" w:sz="4" w:space="0" w:color="auto"/>
                    <w:right w:val="single" w:sz="4" w:space="0" w:color="auto"/>
                  </w:tcBorders>
                  <w:shd w:val="clear" w:color="auto" w:fill="auto"/>
                  <w:noWrap/>
                  <w:vAlign w:val="bottom"/>
                  <w:hideMark/>
                </w:tcPr>
                <w:p w14:paraId="1DA07AE9"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695</w:t>
                  </w:r>
                </w:p>
              </w:tc>
            </w:tr>
            <w:tr w:rsidR="00A7492E" w:rsidRPr="00A7492E" w14:paraId="5A7494A5" w14:textId="77777777" w:rsidTr="007B0929">
              <w:trPr>
                <w:trHeight w:val="255"/>
              </w:trPr>
              <w:tc>
                <w:tcPr>
                  <w:tcW w:w="1630" w:type="dxa"/>
                  <w:vMerge w:val="restart"/>
                  <w:tcBorders>
                    <w:top w:val="nil"/>
                    <w:left w:val="single" w:sz="4" w:space="0" w:color="auto"/>
                    <w:bottom w:val="single" w:sz="4" w:space="0" w:color="000000"/>
                    <w:right w:val="nil"/>
                  </w:tcBorders>
                  <w:shd w:val="clear" w:color="auto" w:fill="EAF1DD" w:themeFill="accent3" w:themeFillTint="33"/>
                  <w:hideMark/>
                </w:tcPr>
                <w:p w14:paraId="548111C8"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PARKSIDE</w:t>
                  </w:r>
                </w:p>
              </w:tc>
              <w:tc>
                <w:tcPr>
                  <w:tcW w:w="1232" w:type="dxa"/>
                  <w:tcBorders>
                    <w:top w:val="single" w:sz="4" w:space="0" w:color="auto"/>
                    <w:left w:val="single" w:sz="4" w:space="0" w:color="auto"/>
                    <w:bottom w:val="nil"/>
                    <w:right w:val="single" w:sz="4" w:space="0" w:color="auto"/>
                  </w:tcBorders>
                  <w:shd w:val="clear" w:color="auto" w:fill="EAF1DD" w:themeFill="accent3" w:themeFillTint="33"/>
                  <w:hideMark/>
                </w:tcPr>
                <w:p w14:paraId="7693F946"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Faculty</w:t>
                  </w:r>
                </w:p>
              </w:tc>
              <w:tc>
                <w:tcPr>
                  <w:tcW w:w="1170" w:type="dxa"/>
                  <w:tcBorders>
                    <w:top w:val="single" w:sz="4" w:space="0" w:color="auto"/>
                    <w:left w:val="nil"/>
                    <w:bottom w:val="nil"/>
                    <w:right w:val="nil"/>
                  </w:tcBorders>
                  <w:shd w:val="clear" w:color="auto" w:fill="auto"/>
                  <w:noWrap/>
                  <w:vAlign w:val="bottom"/>
                  <w:hideMark/>
                </w:tcPr>
                <w:p w14:paraId="25CEE78B"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160</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0D9595BE"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56</w:t>
                  </w:r>
                </w:p>
              </w:tc>
              <w:tc>
                <w:tcPr>
                  <w:tcW w:w="1350" w:type="dxa"/>
                  <w:tcBorders>
                    <w:top w:val="single" w:sz="4" w:space="0" w:color="auto"/>
                    <w:left w:val="nil"/>
                    <w:bottom w:val="nil"/>
                    <w:right w:val="single" w:sz="4" w:space="0" w:color="auto"/>
                  </w:tcBorders>
                  <w:shd w:val="clear" w:color="auto" w:fill="auto"/>
                  <w:noWrap/>
                  <w:vAlign w:val="bottom"/>
                  <w:hideMark/>
                </w:tcPr>
                <w:p w14:paraId="3E9E501F"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216</w:t>
                  </w:r>
                </w:p>
              </w:tc>
            </w:tr>
            <w:tr w:rsidR="00A7492E" w:rsidRPr="00A7492E" w14:paraId="59FBAD37" w14:textId="77777777" w:rsidTr="007B0929">
              <w:trPr>
                <w:trHeight w:val="255"/>
              </w:trPr>
              <w:tc>
                <w:tcPr>
                  <w:tcW w:w="1630" w:type="dxa"/>
                  <w:vMerge/>
                  <w:tcBorders>
                    <w:top w:val="nil"/>
                    <w:left w:val="single" w:sz="4" w:space="0" w:color="auto"/>
                    <w:bottom w:val="single" w:sz="4" w:space="0" w:color="000000"/>
                    <w:right w:val="nil"/>
                  </w:tcBorders>
                  <w:shd w:val="clear" w:color="auto" w:fill="EAF1DD" w:themeFill="accent3" w:themeFillTint="33"/>
                  <w:vAlign w:val="center"/>
                  <w:hideMark/>
                </w:tcPr>
                <w:p w14:paraId="4577608C" w14:textId="77777777" w:rsidR="00A7492E" w:rsidRPr="00A7492E" w:rsidRDefault="00A7492E" w:rsidP="00A7492E">
                  <w:pPr>
                    <w:spacing w:after="0" w:line="240" w:lineRule="auto"/>
                    <w:rPr>
                      <w:rFonts w:ascii="Arial" w:eastAsia="Times New Roman" w:hAnsi="Arial" w:cs="Arial"/>
                      <w:b/>
                      <w:bCs/>
                      <w:color w:val="000000"/>
                      <w:sz w:val="20"/>
                      <w:szCs w:val="20"/>
                    </w:rPr>
                  </w:pPr>
                </w:p>
              </w:tc>
              <w:tc>
                <w:tcPr>
                  <w:tcW w:w="1232" w:type="dxa"/>
                  <w:tcBorders>
                    <w:top w:val="nil"/>
                    <w:left w:val="single" w:sz="4" w:space="0" w:color="auto"/>
                    <w:bottom w:val="single" w:sz="4" w:space="0" w:color="auto"/>
                    <w:right w:val="single" w:sz="4" w:space="0" w:color="auto"/>
                  </w:tcBorders>
                  <w:shd w:val="clear" w:color="auto" w:fill="EAF1DD" w:themeFill="accent3" w:themeFillTint="33"/>
                  <w:hideMark/>
                </w:tcPr>
                <w:p w14:paraId="0FBFB633"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Staff</w:t>
                  </w:r>
                </w:p>
              </w:tc>
              <w:tc>
                <w:tcPr>
                  <w:tcW w:w="1170" w:type="dxa"/>
                  <w:tcBorders>
                    <w:top w:val="nil"/>
                    <w:left w:val="nil"/>
                    <w:bottom w:val="nil"/>
                    <w:right w:val="nil"/>
                  </w:tcBorders>
                  <w:shd w:val="clear" w:color="auto" w:fill="auto"/>
                  <w:noWrap/>
                  <w:vAlign w:val="bottom"/>
                  <w:hideMark/>
                </w:tcPr>
                <w:p w14:paraId="48BD861D"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211</w:t>
                  </w:r>
                </w:p>
              </w:tc>
              <w:tc>
                <w:tcPr>
                  <w:tcW w:w="1440" w:type="dxa"/>
                  <w:tcBorders>
                    <w:top w:val="nil"/>
                    <w:left w:val="single" w:sz="4" w:space="0" w:color="auto"/>
                    <w:bottom w:val="nil"/>
                    <w:right w:val="single" w:sz="4" w:space="0" w:color="auto"/>
                  </w:tcBorders>
                  <w:shd w:val="clear" w:color="auto" w:fill="auto"/>
                  <w:noWrap/>
                  <w:vAlign w:val="bottom"/>
                  <w:hideMark/>
                </w:tcPr>
                <w:p w14:paraId="29CEDA3B"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30</w:t>
                  </w:r>
                </w:p>
              </w:tc>
              <w:tc>
                <w:tcPr>
                  <w:tcW w:w="1350" w:type="dxa"/>
                  <w:tcBorders>
                    <w:top w:val="nil"/>
                    <w:left w:val="nil"/>
                    <w:bottom w:val="nil"/>
                    <w:right w:val="single" w:sz="4" w:space="0" w:color="auto"/>
                  </w:tcBorders>
                  <w:shd w:val="clear" w:color="auto" w:fill="auto"/>
                  <w:noWrap/>
                  <w:vAlign w:val="bottom"/>
                  <w:hideMark/>
                </w:tcPr>
                <w:p w14:paraId="7F96DF26"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241</w:t>
                  </w:r>
                </w:p>
              </w:tc>
            </w:tr>
            <w:tr w:rsidR="00A7492E" w:rsidRPr="00A7492E" w14:paraId="627B885B" w14:textId="77777777" w:rsidTr="007B0929">
              <w:trPr>
                <w:trHeight w:val="255"/>
              </w:trPr>
              <w:tc>
                <w:tcPr>
                  <w:tcW w:w="1630" w:type="dxa"/>
                  <w:vMerge w:val="restart"/>
                  <w:tcBorders>
                    <w:top w:val="nil"/>
                    <w:left w:val="single" w:sz="4" w:space="0" w:color="auto"/>
                    <w:bottom w:val="single" w:sz="4" w:space="0" w:color="000000"/>
                    <w:right w:val="nil"/>
                  </w:tcBorders>
                  <w:shd w:val="clear" w:color="auto" w:fill="EAF1DD" w:themeFill="accent3" w:themeFillTint="33"/>
                  <w:hideMark/>
                </w:tcPr>
                <w:p w14:paraId="2730ECED"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PLATTEVILLE</w:t>
                  </w:r>
                </w:p>
              </w:tc>
              <w:tc>
                <w:tcPr>
                  <w:tcW w:w="1232" w:type="dxa"/>
                  <w:tcBorders>
                    <w:top w:val="single" w:sz="4" w:space="0" w:color="auto"/>
                    <w:left w:val="single" w:sz="4" w:space="0" w:color="auto"/>
                    <w:bottom w:val="nil"/>
                    <w:right w:val="single" w:sz="4" w:space="0" w:color="auto"/>
                  </w:tcBorders>
                  <w:shd w:val="clear" w:color="auto" w:fill="EAF1DD" w:themeFill="accent3" w:themeFillTint="33"/>
                  <w:hideMark/>
                </w:tcPr>
                <w:p w14:paraId="1AFE00B0"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Faculty</w:t>
                  </w:r>
                </w:p>
              </w:tc>
              <w:tc>
                <w:tcPr>
                  <w:tcW w:w="1170" w:type="dxa"/>
                  <w:tcBorders>
                    <w:top w:val="single" w:sz="4" w:space="0" w:color="auto"/>
                    <w:left w:val="nil"/>
                    <w:bottom w:val="nil"/>
                    <w:right w:val="nil"/>
                  </w:tcBorders>
                  <w:shd w:val="clear" w:color="auto" w:fill="auto"/>
                  <w:noWrap/>
                  <w:vAlign w:val="bottom"/>
                  <w:hideMark/>
                </w:tcPr>
                <w:p w14:paraId="1D6D2972"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331</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7FDBB527"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73</w:t>
                  </w:r>
                </w:p>
              </w:tc>
              <w:tc>
                <w:tcPr>
                  <w:tcW w:w="1350" w:type="dxa"/>
                  <w:tcBorders>
                    <w:top w:val="single" w:sz="4" w:space="0" w:color="auto"/>
                    <w:left w:val="nil"/>
                    <w:bottom w:val="nil"/>
                    <w:right w:val="single" w:sz="4" w:space="0" w:color="auto"/>
                  </w:tcBorders>
                  <w:shd w:val="clear" w:color="auto" w:fill="auto"/>
                  <w:noWrap/>
                  <w:vAlign w:val="bottom"/>
                  <w:hideMark/>
                </w:tcPr>
                <w:p w14:paraId="2AC1A8F5"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404</w:t>
                  </w:r>
                </w:p>
              </w:tc>
            </w:tr>
            <w:tr w:rsidR="00A7492E" w:rsidRPr="00A7492E" w14:paraId="7877535B" w14:textId="77777777" w:rsidTr="007B0929">
              <w:trPr>
                <w:trHeight w:val="255"/>
              </w:trPr>
              <w:tc>
                <w:tcPr>
                  <w:tcW w:w="1630" w:type="dxa"/>
                  <w:vMerge/>
                  <w:tcBorders>
                    <w:top w:val="nil"/>
                    <w:left w:val="single" w:sz="4" w:space="0" w:color="auto"/>
                    <w:bottom w:val="single" w:sz="4" w:space="0" w:color="000000"/>
                    <w:right w:val="nil"/>
                  </w:tcBorders>
                  <w:shd w:val="clear" w:color="auto" w:fill="EAF1DD" w:themeFill="accent3" w:themeFillTint="33"/>
                  <w:vAlign w:val="center"/>
                  <w:hideMark/>
                </w:tcPr>
                <w:p w14:paraId="382B0498" w14:textId="77777777" w:rsidR="00A7492E" w:rsidRPr="00A7492E" w:rsidRDefault="00A7492E" w:rsidP="00A7492E">
                  <w:pPr>
                    <w:spacing w:after="0" w:line="240" w:lineRule="auto"/>
                    <w:rPr>
                      <w:rFonts w:ascii="Arial" w:eastAsia="Times New Roman" w:hAnsi="Arial" w:cs="Arial"/>
                      <w:b/>
                      <w:bCs/>
                      <w:color w:val="000000"/>
                      <w:sz w:val="20"/>
                      <w:szCs w:val="20"/>
                    </w:rPr>
                  </w:pPr>
                </w:p>
              </w:tc>
              <w:tc>
                <w:tcPr>
                  <w:tcW w:w="1232" w:type="dxa"/>
                  <w:tcBorders>
                    <w:top w:val="nil"/>
                    <w:left w:val="single" w:sz="4" w:space="0" w:color="auto"/>
                    <w:bottom w:val="single" w:sz="4" w:space="0" w:color="auto"/>
                    <w:right w:val="single" w:sz="4" w:space="0" w:color="auto"/>
                  </w:tcBorders>
                  <w:shd w:val="clear" w:color="auto" w:fill="EAF1DD" w:themeFill="accent3" w:themeFillTint="33"/>
                  <w:hideMark/>
                </w:tcPr>
                <w:p w14:paraId="655C0685"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Staff</w:t>
                  </w:r>
                </w:p>
              </w:tc>
              <w:tc>
                <w:tcPr>
                  <w:tcW w:w="1170" w:type="dxa"/>
                  <w:tcBorders>
                    <w:top w:val="nil"/>
                    <w:left w:val="nil"/>
                    <w:bottom w:val="single" w:sz="4" w:space="0" w:color="auto"/>
                    <w:right w:val="nil"/>
                  </w:tcBorders>
                  <w:shd w:val="clear" w:color="auto" w:fill="auto"/>
                  <w:noWrap/>
                  <w:vAlign w:val="bottom"/>
                  <w:hideMark/>
                </w:tcPr>
                <w:p w14:paraId="16730B37"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408</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681E9DD"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36</w:t>
                  </w:r>
                </w:p>
              </w:tc>
              <w:tc>
                <w:tcPr>
                  <w:tcW w:w="1350" w:type="dxa"/>
                  <w:tcBorders>
                    <w:top w:val="nil"/>
                    <w:left w:val="nil"/>
                    <w:bottom w:val="single" w:sz="4" w:space="0" w:color="auto"/>
                    <w:right w:val="single" w:sz="4" w:space="0" w:color="auto"/>
                  </w:tcBorders>
                  <w:shd w:val="clear" w:color="auto" w:fill="auto"/>
                  <w:noWrap/>
                  <w:vAlign w:val="bottom"/>
                  <w:hideMark/>
                </w:tcPr>
                <w:p w14:paraId="50F5958E"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444</w:t>
                  </w:r>
                </w:p>
              </w:tc>
            </w:tr>
            <w:tr w:rsidR="00A7492E" w:rsidRPr="00A7492E" w14:paraId="5FD63018" w14:textId="77777777" w:rsidTr="007B0929">
              <w:trPr>
                <w:trHeight w:val="255"/>
              </w:trPr>
              <w:tc>
                <w:tcPr>
                  <w:tcW w:w="1630" w:type="dxa"/>
                  <w:vMerge w:val="restart"/>
                  <w:tcBorders>
                    <w:top w:val="nil"/>
                    <w:left w:val="single" w:sz="4" w:space="0" w:color="auto"/>
                    <w:bottom w:val="single" w:sz="4" w:space="0" w:color="000000"/>
                    <w:right w:val="nil"/>
                  </w:tcBorders>
                  <w:shd w:val="clear" w:color="auto" w:fill="EAF1DD" w:themeFill="accent3" w:themeFillTint="33"/>
                  <w:hideMark/>
                </w:tcPr>
                <w:p w14:paraId="14C5C40B"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RIVER FALLS</w:t>
                  </w:r>
                </w:p>
              </w:tc>
              <w:tc>
                <w:tcPr>
                  <w:tcW w:w="1232" w:type="dxa"/>
                  <w:tcBorders>
                    <w:top w:val="single" w:sz="4" w:space="0" w:color="auto"/>
                    <w:left w:val="single" w:sz="4" w:space="0" w:color="auto"/>
                    <w:bottom w:val="nil"/>
                    <w:right w:val="single" w:sz="4" w:space="0" w:color="auto"/>
                  </w:tcBorders>
                  <w:shd w:val="clear" w:color="auto" w:fill="EAF1DD" w:themeFill="accent3" w:themeFillTint="33"/>
                  <w:hideMark/>
                </w:tcPr>
                <w:p w14:paraId="01FEA8C0"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Faculty</w:t>
                  </w:r>
                </w:p>
              </w:tc>
              <w:tc>
                <w:tcPr>
                  <w:tcW w:w="1170" w:type="dxa"/>
                  <w:tcBorders>
                    <w:top w:val="single" w:sz="4" w:space="0" w:color="auto"/>
                    <w:left w:val="nil"/>
                    <w:bottom w:val="nil"/>
                    <w:right w:val="nil"/>
                  </w:tcBorders>
                  <w:shd w:val="clear" w:color="auto" w:fill="auto"/>
                  <w:noWrap/>
                  <w:vAlign w:val="bottom"/>
                  <w:hideMark/>
                </w:tcPr>
                <w:p w14:paraId="219C7D8E"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219</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0B898616"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125</w:t>
                  </w:r>
                </w:p>
              </w:tc>
              <w:tc>
                <w:tcPr>
                  <w:tcW w:w="1350" w:type="dxa"/>
                  <w:tcBorders>
                    <w:top w:val="single" w:sz="4" w:space="0" w:color="auto"/>
                    <w:left w:val="nil"/>
                    <w:bottom w:val="nil"/>
                    <w:right w:val="single" w:sz="4" w:space="0" w:color="auto"/>
                  </w:tcBorders>
                  <w:shd w:val="clear" w:color="auto" w:fill="auto"/>
                  <w:noWrap/>
                  <w:vAlign w:val="bottom"/>
                  <w:hideMark/>
                </w:tcPr>
                <w:p w14:paraId="35E9A7C6"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344</w:t>
                  </w:r>
                </w:p>
              </w:tc>
            </w:tr>
            <w:tr w:rsidR="00A7492E" w:rsidRPr="00A7492E" w14:paraId="0DFC1A19" w14:textId="77777777" w:rsidTr="007B0929">
              <w:trPr>
                <w:trHeight w:val="255"/>
              </w:trPr>
              <w:tc>
                <w:tcPr>
                  <w:tcW w:w="1630" w:type="dxa"/>
                  <w:vMerge/>
                  <w:tcBorders>
                    <w:top w:val="nil"/>
                    <w:left w:val="single" w:sz="4" w:space="0" w:color="auto"/>
                    <w:bottom w:val="single" w:sz="4" w:space="0" w:color="000000"/>
                    <w:right w:val="nil"/>
                  </w:tcBorders>
                  <w:shd w:val="clear" w:color="auto" w:fill="EAF1DD" w:themeFill="accent3" w:themeFillTint="33"/>
                  <w:vAlign w:val="center"/>
                  <w:hideMark/>
                </w:tcPr>
                <w:p w14:paraId="36FFE867" w14:textId="77777777" w:rsidR="00A7492E" w:rsidRPr="00A7492E" w:rsidRDefault="00A7492E" w:rsidP="00A7492E">
                  <w:pPr>
                    <w:spacing w:after="0" w:line="240" w:lineRule="auto"/>
                    <w:rPr>
                      <w:rFonts w:ascii="Arial" w:eastAsia="Times New Roman" w:hAnsi="Arial" w:cs="Arial"/>
                      <w:b/>
                      <w:bCs/>
                      <w:color w:val="000000"/>
                      <w:sz w:val="20"/>
                      <w:szCs w:val="20"/>
                    </w:rPr>
                  </w:pPr>
                </w:p>
              </w:tc>
              <w:tc>
                <w:tcPr>
                  <w:tcW w:w="1232" w:type="dxa"/>
                  <w:tcBorders>
                    <w:top w:val="nil"/>
                    <w:left w:val="single" w:sz="4" w:space="0" w:color="auto"/>
                    <w:bottom w:val="single" w:sz="4" w:space="0" w:color="auto"/>
                    <w:right w:val="single" w:sz="4" w:space="0" w:color="auto"/>
                  </w:tcBorders>
                  <w:shd w:val="clear" w:color="auto" w:fill="EAF1DD" w:themeFill="accent3" w:themeFillTint="33"/>
                  <w:hideMark/>
                </w:tcPr>
                <w:p w14:paraId="12838F89"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Staff</w:t>
                  </w:r>
                </w:p>
              </w:tc>
              <w:tc>
                <w:tcPr>
                  <w:tcW w:w="1170" w:type="dxa"/>
                  <w:tcBorders>
                    <w:top w:val="nil"/>
                    <w:left w:val="nil"/>
                    <w:bottom w:val="nil"/>
                    <w:right w:val="nil"/>
                  </w:tcBorders>
                  <w:shd w:val="clear" w:color="auto" w:fill="auto"/>
                  <w:noWrap/>
                  <w:vAlign w:val="bottom"/>
                  <w:hideMark/>
                </w:tcPr>
                <w:p w14:paraId="5C26459F"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262</w:t>
                  </w:r>
                </w:p>
              </w:tc>
              <w:tc>
                <w:tcPr>
                  <w:tcW w:w="1440" w:type="dxa"/>
                  <w:tcBorders>
                    <w:top w:val="nil"/>
                    <w:left w:val="single" w:sz="4" w:space="0" w:color="auto"/>
                    <w:bottom w:val="nil"/>
                    <w:right w:val="single" w:sz="4" w:space="0" w:color="auto"/>
                  </w:tcBorders>
                  <w:shd w:val="clear" w:color="auto" w:fill="auto"/>
                  <w:noWrap/>
                  <w:vAlign w:val="bottom"/>
                  <w:hideMark/>
                </w:tcPr>
                <w:p w14:paraId="4349D036"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41</w:t>
                  </w:r>
                </w:p>
              </w:tc>
              <w:tc>
                <w:tcPr>
                  <w:tcW w:w="1350" w:type="dxa"/>
                  <w:tcBorders>
                    <w:top w:val="nil"/>
                    <w:left w:val="nil"/>
                    <w:bottom w:val="nil"/>
                    <w:right w:val="single" w:sz="4" w:space="0" w:color="auto"/>
                  </w:tcBorders>
                  <w:shd w:val="clear" w:color="auto" w:fill="auto"/>
                  <w:noWrap/>
                  <w:vAlign w:val="bottom"/>
                  <w:hideMark/>
                </w:tcPr>
                <w:p w14:paraId="01C56D3B"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303</w:t>
                  </w:r>
                </w:p>
              </w:tc>
            </w:tr>
            <w:tr w:rsidR="00A7492E" w:rsidRPr="00A7492E" w14:paraId="31F3ABEB" w14:textId="77777777" w:rsidTr="007B0929">
              <w:trPr>
                <w:trHeight w:val="255"/>
              </w:trPr>
              <w:tc>
                <w:tcPr>
                  <w:tcW w:w="1630" w:type="dxa"/>
                  <w:vMerge w:val="restart"/>
                  <w:tcBorders>
                    <w:top w:val="nil"/>
                    <w:left w:val="single" w:sz="4" w:space="0" w:color="auto"/>
                    <w:bottom w:val="single" w:sz="4" w:space="0" w:color="000000"/>
                    <w:right w:val="nil"/>
                  </w:tcBorders>
                  <w:shd w:val="clear" w:color="auto" w:fill="EAF1DD" w:themeFill="accent3" w:themeFillTint="33"/>
                  <w:hideMark/>
                </w:tcPr>
                <w:p w14:paraId="1B81E443"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STEVENS POINT</w:t>
                  </w:r>
                </w:p>
              </w:tc>
              <w:tc>
                <w:tcPr>
                  <w:tcW w:w="1232" w:type="dxa"/>
                  <w:tcBorders>
                    <w:top w:val="single" w:sz="4" w:space="0" w:color="auto"/>
                    <w:left w:val="single" w:sz="4" w:space="0" w:color="auto"/>
                    <w:bottom w:val="nil"/>
                    <w:right w:val="single" w:sz="4" w:space="0" w:color="auto"/>
                  </w:tcBorders>
                  <w:shd w:val="clear" w:color="auto" w:fill="EAF1DD" w:themeFill="accent3" w:themeFillTint="33"/>
                  <w:hideMark/>
                </w:tcPr>
                <w:p w14:paraId="611EAB24"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Faculty</w:t>
                  </w:r>
                </w:p>
              </w:tc>
              <w:tc>
                <w:tcPr>
                  <w:tcW w:w="1170" w:type="dxa"/>
                  <w:tcBorders>
                    <w:top w:val="single" w:sz="4" w:space="0" w:color="auto"/>
                    <w:left w:val="nil"/>
                    <w:bottom w:val="nil"/>
                    <w:right w:val="nil"/>
                  </w:tcBorders>
                  <w:shd w:val="clear" w:color="auto" w:fill="auto"/>
                  <w:noWrap/>
                  <w:vAlign w:val="bottom"/>
                  <w:hideMark/>
                </w:tcPr>
                <w:p w14:paraId="709864E2"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363</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21632605"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89</w:t>
                  </w:r>
                </w:p>
              </w:tc>
              <w:tc>
                <w:tcPr>
                  <w:tcW w:w="1350" w:type="dxa"/>
                  <w:tcBorders>
                    <w:top w:val="single" w:sz="4" w:space="0" w:color="auto"/>
                    <w:left w:val="nil"/>
                    <w:bottom w:val="nil"/>
                    <w:right w:val="single" w:sz="4" w:space="0" w:color="auto"/>
                  </w:tcBorders>
                  <w:shd w:val="clear" w:color="auto" w:fill="auto"/>
                  <w:noWrap/>
                  <w:vAlign w:val="bottom"/>
                  <w:hideMark/>
                </w:tcPr>
                <w:p w14:paraId="73B6414A"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452</w:t>
                  </w:r>
                </w:p>
              </w:tc>
            </w:tr>
            <w:tr w:rsidR="00A7492E" w:rsidRPr="00A7492E" w14:paraId="55EED3C7" w14:textId="77777777" w:rsidTr="007B0929">
              <w:trPr>
                <w:trHeight w:val="255"/>
              </w:trPr>
              <w:tc>
                <w:tcPr>
                  <w:tcW w:w="1630" w:type="dxa"/>
                  <w:vMerge/>
                  <w:tcBorders>
                    <w:top w:val="nil"/>
                    <w:left w:val="single" w:sz="4" w:space="0" w:color="auto"/>
                    <w:bottom w:val="single" w:sz="4" w:space="0" w:color="000000"/>
                    <w:right w:val="nil"/>
                  </w:tcBorders>
                  <w:shd w:val="clear" w:color="auto" w:fill="EAF1DD" w:themeFill="accent3" w:themeFillTint="33"/>
                  <w:vAlign w:val="center"/>
                  <w:hideMark/>
                </w:tcPr>
                <w:p w14:paraId="6C172FE8" w14:textId="77777777" w:rsidR="00A7492E" w:rsidRPr="00A7492E" w:rsidRDefault="00A7492E" w:rsidP="00A7492E">
                  <w:pPr>
                    <w:spacing w:after="0" w:line="240" w:lineRule="auto"/>
                    <w:rPr>
                      <w:rFonts w:ascii="Arial" w:eastAsia="Times New Roman" w:hAnsi="Arial" w:cs="Arial"/>
                      <w:b/>
                      <w:bCs/>
                      <w:color w:val="000000"/>
                      <w:sz w:val="20"/>
                      <w:szCs w:val="20"/>
                    </w:rPr>
                  </w:pPr>
                </w:p>
              </w:tc>
              <w:tc>
                <w:tcPr>
                  <w:tcW w:w="1232" w:type="dxa"/>
                  <w:tcBorders>
                    <w:top w:val="nil"/>
                    <w:left w:val="single" w:sz="4" w:space="0" w:color="auto"/>
                    <w:bottom w:val="single" w:sz="4" w:space="0" w:color="auto"/>
                    <w:right w:val="single" w:sz="4" w:space="0" w:color="auto"/>
                  </w:tcBorders>
                  <w:shd w:val="clear" w:color="auto" w:fill="EAF1DD" w:themeFill="accent3" w:themeFillTint="33"/>
                  <w:hideMark/>
                </w:tcPr>
                <w:p w14:paraId="5095D9CE"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Staff</w:t>
                  </w:r>
                </w:p>
              </w:tc>
              <w:tc>
                <w:tcPr>
                  <w:tcW w:w="1170" w:type="dxa"/>
                  <w:tcBorders>
                    <w:top w:val="nil"/>
                    <w:left w:val="nil"/>
                    <w:bottom w:val="single" w:sz="4" w:space="0" w:color="auto"/>
                    <w:right w:val="nil"/>
                  </w:tcBorders>
                  <w:shd w:val="clear" w:color="auto" w:fill="auto"/>
                  <w:noWrap/>
                  <w:vAlign w:val="bottom"/>
                  <w:hideMark/>
                </w:tcPr>
                <w:p w14:paraId="1FD19DDD"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488</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7A1DB96"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61</w:t>
                  </w:r>
                </w:p>
              </w:tc>
              <w:tc>
                <w:tcPr>
                  <w:tcW w:w="1350" w:type="dxa"/>
                  <w:tcBorders>
                    <w:top w:val="nil"/>
                    <w:left w:val="nil"/>
                    <w:bottom w:val="single" w:sz="4" w:space="0" w:color="auto"/>
                    <w:right w:val="single" w:sz="4" w:space="0" w:color="auto"/>
                  </w:tcBorders>
                  <w:shd w:val="clear" w:color="auto" w:fill="auto"/>
                  <w:noWrap/>
                  <w:vAlign w:val="bottom"/>
                  <w:hideMark/>
                </w:tcPr>
                <w:p w14:paraId="2771DB17"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549</w:t>
                  </w:r>
                </w:p>
              </w:tc>
            </w:tr>
            <w:tr w:rsidR="00A7492E" w:rsidRPr="00A7492E" w14:paraId="4232C0D7" w14:textId="77777777" w:rsidTr="007B0929">
              <w:trPr>
                <w:trHeight w:val="255"/>
              </w:trPr>
              <w:tc>
                <w:tcPr>
                  <w:tcW w:w="1630" w:type="dxa"/>
                  <w:vMerge w:val="restart"/>
                  <w:tcBorders>
                    <w:top w:val="nil"/>
                    <w:left w:val="single" w:sz="4" w:space="0" w:color="auto"/>
                    <w:bottom w:val="single" w:sz="4" w:space="0" w:color="000000"/>
                    <w:right w:val="nil"/>
                  </w:tcBorders>
                  <w:shd w:val="clear" w:color="auto" w:fill="EAF1DD" w:themeFill="accent3" w:themeFillTint="33"/>
                  <w:hideMark/>
                </w:tcPr>
                <w:p w14:paraId="463F4BA4"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STOUT</w:t>
                  </w:r>
                </w:p>
              </w:tc>
              <w:tc>
                <w:tcPr>
                  <w:tcW w:w="1232" w:type="dxa"/>
                  <w:tcBorders>
                    <w:top w:val="single" w:sz="4" w:space="0" w:color="auto"/>
                    <w:left w:val="single" w:sz="4" w:space="0" w:color="auto"/>
                    <w:bottom w:val="nil"/>
                    <w:right w:val="single" w:sz="4" w:space="0" w:color="auto"/>
                  </w:tcBorders>
                  <w:shd w:val="clear" w:color="auto" w:fill="EAF1DD" w:themeFill="accent3" w:themeFillTint="33"/>
                  <w:hideMark/>
                </w:tcPr>
                <w:p w14:paraId="05459DF6"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Faculty</w:t>
                  </w:r>
                </w:p>
              </w:tc>
              <w:tc>
                <w:tcPr>
                  <w:tcW w:w="1170" w:type="dxa"/>
                  <w:tcBorders>
                    <w:top w:val="single" w:sz="4" w:space="0" w:color="auto"/>
                    <w:left w:val="nil"/>
                    <w:bottom w:val="nil"/>
                    <w:right w:val="nil"/>
                  </w:tcBorders>
                  <w:shd w:val="clear" w:color="auto" w:fill="auto"/>
                  <w:noWrap/>
                  <w:vAlign w:val="bottom"/>
                  <w:hideMark/>
                </w:tcPr>
                <w:p w14:paraId="5AC98F80"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339</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019316FE"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148</w:t>
                  </w:r>
                </w:p>
              </w:tc>
              <w:tc>
                <w:tcPr>
                  <w:tcW w:w="1350" w:type="dxa"/>
                  <w:tcBorders>
                    <w:top w:val="single" w:sz="4" w:space="0" w:color="auto"/>
                    <w:left w:val="nil"/>
                    <w:bottom w:val="nil"/>
                    <w:right w:val="single" w:sz="4" w:space="0" w:color="auto"/>
                  </w:tcBorders>
                  <w:shd w:val="clear" w:color="auto" w:fill="auto"/>
                  <w:noWrap/>
                  <w:vAlign w:val="bottom"/>
                  <w:hideMark/>
                </w:tcPr>
                <w:p w14:paraId="02E5BA8F"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487</w:t>
                  </w:r>
                </w:p>
              </w:tc>
            </w:tr>
            <w:tr w:rsidR="00A7492E" w:rsidRPr="00A7492E" w14:paraId="7171BD14" w14:textId="77777777" w:rsidTr="007B0929">
              <w:trPr>
                <w:trHeight w:val="255"/>
              </w:trPr>
              <w:tc>
                <w:tcPr>
                  <w:tcW w:w="1630" w:type="dxa"/>
                  <w:vMerge/>
                  <w:tcBorders>
                    <w:top w:val="nil"/>
                    <w:left w:val="single" w:sz="4" w:space="0" w:color="auto"/>
                    <w:bottom w:val="single" w:sz="4" w:space="0" w:color="000000"/>
                    <w:right w:val="nil"/>
                  </w:tcBorders>
                  <w:shd w:val="clear" w:color="auto" w:fill="EAF1DD" w:themeFill="accent3" w:themeFillTint="33"/>
                  <w:vAlign w:val="center"/>
                  <w:hideMark/>
                </w:tcPr>
                <w:p w14:paraId="301CC29F" w14:textId="77777777" w:rsidR="00A7492E" w:rsidRPr="00A7492E" w:rsidRDefault="00A7492E" w:rsidP="00A7492E">
                  <w:pPr>
                    <w:spacing w:after="0" w:line="240" w:lineRule="auto"/>
                    <w:rPr>
                      <w:rFonts w:ascii="Arial" w:eastAsia="Times New Roman" w:hAnsi="Arial" w:cs="Arial"/>
                      <w:b/>
                      <w:bCs/>
                      <w:color w:val="000000"/>
                      <w:sz w:val="20"/>
                      <w:szCs w:val="20"/>
                    </w:rPr>
                  </w:pPr>
                </w:p>
              </w:tc>
              <w:tc>
                <w:tcPr>
                  <w:tcW w:w="1232" w:type="dxa"/>
                  <w:tcBorders>
                    <w:top w:val="nil"/>
                    <w:left w:val="single" w:sz="4" w:space="0" w:color="auto"/>
                    <w:bottom w:val="single" w:sz="4" w:space="0" w:color="auto"/>
                    <w:right w:val="single" w:sz="4" w:space="0" w:color="auto"/>
                  </w:tcBorders>
                  <w:shd w:val="clear" w:color="auto" w:fill="EAF1DD" w:themeFill="accent3" w:themeFillTint="33"/>
                  <w:hideMark/>
                </w:tcPr>
                <w:p w14:paraId="5A631611"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Staff</w:t>
                  </w:r>
                </w:p>
              </w:tc>
              <w:tc>
                <w:tcPr>
                  <w:tcW w:w="1170" w:type="dxa"/>
                  <w:tcBorders>
                    <w:top w:val="nil"/>
                    <w:left w:val="nil"/>
                    <w:bottom w:val="single" w:sz="4" w:space="0" w:color="auto"/>
                    <w:right w:val="nil"/>
                  </w:tcBorders>
                  <w:shd w:val="clear" w:color="auto" w:fill="auto"/>
                  <w:noWrap/>
                  <w:vAlign w:val="bottom"/>
                  <w:hideMark/>
                </w:tcPr>
                <w:p w14:paraId="26526EE2"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442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3748C5F"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76</w:t>
                  </w:r>
                </w:p>
              </w:tc>
              <w:tc>
                <w:tcPr>
                  <w:tcW w:w="1350" w:type="dxa"/>
                  <w:tcBorders>
                    <w:top w:val="nil"/>
                    <w:left w:val="nil"/>
                    <w:bottom w:val="single" w:sz="4" w:space="0" w:color="auto"/>
                    <w:right w:val="single" w:sz="4" w:space="0" w:color="auto"/>
                  </w:tcBorders>
                  <w:shd w:val="clear" w:color="auto" w:fill="auto"/>
                  <w:noWrap/>
                  <w:vAlign w:val="bottom"/>
                  <w:hideMark/>
                </w:tcPr>
                <w:p w14:paraId="693A0229"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518</w:t>
                  </w:r>
                </w:p>
              </w:tc>
            </w:tr>
            <w:tr w:rsidR="00A7492E" w:rsidRPr="00A7492E" w14:paraId="52665B90" w14:textId="77777777" w:rsidTr="007B0929">
              <w:trPr>
                <w:trHeight w:val="255"/>
              </w:trPr>
              <w:tc>
                <w:tcPr>
                  <w:tcW w:w="1630" w:type="dxa"/>
                  <w:vMerge w:val="restart"/>
                  <w:tcBorders>
                    <w:top w:val="nil"/>
                    <w:left w:val="single" w:sz="4" w:space="0" w:color="auto"/>
                    <w:bottom w:val="single" w:sz="4" w:space="0" w:color="000000"/>
                    <w:right w:val="nil"/>
                  </w:tcBorders>
                  <w:shd w:val="clear" w:color="auto" w:fill="EAF1DD" w:themeFill="accent3" w:themeFillTint="33"/>
                  <w:hideMark/>
                </w:tcPr>
                <w:p w14:paraId="336F8E78"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SUPERIOR</w:t>
                  </w:r>
                </w:p>
              </w:tc>
              <w:tc>
                <w:tcPr>
                  <w:tcW w:w="1232" w:type="dxa"/>
                  <w:tcBorders>
                    <w:top w:val="single" w:sz="4" w:space="0" w:color="auto"/>
                    <w:left w:val="single" w:sz="4" w:space="0" w:color="auto"/>
                    <w:bottom w:val="nil"/>
                    <w:right w:val="single" w:sz="4" w:space="0" w:color="auto"/>
                  </w:tcBorders>
                  <w:shd w:val="clear" w:color="auto" w:fill="EAF1DD" w:themeFill="accent3" w:themeFillTint="33"/>
                  <w:hideMark/>
                </w:tcPr>
                <w:p w14:paraId="59B96224"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Faculty</w:t>
                  </w:r>
                </w:p>
              </w:tc>
              <w:tc>
                <w:tcPr>
                  <w:tcW w:w="1170" w:type="dxa"/>
                  <w:tcBorders>
                    <w:top w:val="single" w:sz="4" w:space="0" w:color="auto"/>
                    <w:left w:val="nil"/>
                    <w:bottom w:val="nil"/>
                    <w:right w:val="nil"/>
                  </w:tcBorders>
                  <w:shd w:val="clear" w:color="auto" w:fill="auto"/>
                  <w:noWrap/>
                  <w:vAlign w:val="bottom"/>
                  <w:hideMark/>
                </w:tcPr>
                <w:p w14:paraId="37F6E309"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125</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15708F96"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33</w:t>
                  </w:r>
                </w:p>
              </w:tc>
              <w:tc>
                <w:tcPr>
                  <w:tcW w:w="1350" w:type="dxa"/>
                  <w:tcBorders>
                    <w:top w:val="single" w:sz="4" w:space="0" w:color="auto"/>
                    <w:left w:val="nil"/>
                    <w:bottom w:val="nil"/>
                    <w:right w:val="single" w:sz="4" w:space="0" w:color="auto"/>
                  </w:tcBorders>
                  <w:shd w:val="clear" w:color="auto" w:fill="auto"/>
                  <w:noWrap/>
                  <w:vAlign w:val="bottom"/>
                  <w:hideMark/>
                </w:tcPr>
                <w:p w14:paraId="1A4133A1"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158</w:t>
                  </w:r>
                </w:p>
              </w:tc>
            </w:tr>
            <w:tr w:rsidR="00A7492E" w:rsidRPr="00A7492E" w14:paraId="50B39B9A" w14:textId="77777777" w:rsidTr="007B0929">
              <w:trPr>
                <w:trHeight w:val="255"/>
              </w:trPr>
              <w:tc>
                <w:tcPr>
                  <w:tcW w:w="1630" w:type="dxa"/>
                  <w:vMerge/>
                  <w:tcBorders>
                    <w:top w:val="nil"/>
                    <w:left w:val="single" w:sz="4" w:space="0" w:color="auto"/>
                    <w:bottom w:val="single" w:sz="4" w:space="0" w:color="000000"/>
                    <w:right w:val="nil"/>
                  </w:tcBorders>
                  <w:shd w:val="clear" w:color="auto" w:fill="EAF1DD" w:themeFill="accent3" w:themeFillTint="33"/>
                  <w:vAlign w:val="center"/>
                  <w:hideMark/>
                </w:tcPr>
                <w:p w14:paraId="3BD3865E" w14:textId="77777777" w:rsidR="00A7492E" w:rsidRPr="00A7492E" w:rsidRDefault="00A7492E" w:rsidP="00A7492E">
                  <w:pPr>
                    <w:spacing w:after="0" w:line="240" w:lineRule="auto"/>
                    <w:rPr>
                      <w:rFonts w:ascii="Arial" w:eastAsia="Times New Roman" w:hAnsi="Arial" w:cs="Arial"/>
                      <w:b/>
                      <w:bCs/>
                      <w:color w:val="000000"/>
                      <w:sz w:val="20"/>
                      <w:szCs w:val="20"/>
                    </w:rPr>
                  </w:pPr>
                </w:p>
              </w:tc>
              <w:tc>
                <w:tcPr>
                  <w:tcW w:w="1232" w:type="dxa"/>
                  <w:tcBorders>
                    <w:top w:val="nil"/>
                    <w:left w:val="single" w:sz="4" w:space="0" w:color="auto"/>
                    <w:bottom w:val="single" w:sz="4" w:space="0" w:color="auto"/>
                    <w:right w:val="single" w:sz="4" w:space="0" w:color="auto"/>
                  </w:tcBorders>
                  <w:shd w:val="clear" w:color="auto" w:fill="EAF1DD" w:themeFill="accent3" w:themeFillTint="33"/>
                  <w:hideMark/>
                </w:tcPr>
                <w:p w14:paraId="3CD6A2EF"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Staff</w:t>
                  </w:r>
                </w:p>
              </w:tc>
              <w:tc>
                <w:tcPr>
                  <w:tcW w:w="1170" w:type="dxa"/>
                  <w:tcBorders>
                    <w:top w:val="nil"/>
                    <w:left w:val="nil"/>
                    <w:bottom w:val="single" w:sz="4" w:space="0" w:color="auto"/>
                    <w:right w:val="nil"/>
                  </w:tcBorders>
                  <w:shd w:val="clear" w:color="auto" w:fill="auto"/>
                  <w:noWrap/>
                  <w:vAlign w:val="bottom"/>
                  <w:hideMark/>
                </w:tcPr>
                <w:p w14:paraId="11357C0D"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184</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BE4AE4D"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49</w:t>
                  </w:r>
                </w:p>
              </w:tc>
              <w:tc>
                <w:tcPr>
                  <w:tcW w:w="1350" w:type="dxa"/>
                  <w:tcBorders>
                    <w:top w:val="nil"/>
                    <w:left w:val="nil"/>
                    <w:bottom w:val="single" w:sz="4" w:space="0" w:color="auto"/>
                    <w:right w:val="single" w:sz="4" w:space="0" w:color="auto"/>
                  </w:tcBorders>
                  <w:shd w:val="clear" w:color="auto" w:fill="auto"/>
                  <w:noWrap/>
                  <w:vAlign w:val="bottom"/>
                  <w:hideMark/>
                </w:tcPr>
                <w:p w14:paraId="1EFFA6ED"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233</w:t>
                  </w:r>
                </w:p>
              </w:tc>
            </w:tr>
            <w:tr w:rsidR="00A7492E" w:rsidRPr="00A7492E" w14:paraId="4D1910E2" w14:textId="77777777" w:rsidTr="007B0929">
              <w:trPr>
                <w:trHeight w:val="255"/>
              </w:trPr>
              <w:tc>
                <w:tcPr>
                  <w:tcW w:w="1630" w:type="dxa"/>
                  <w:vMerge w:val="restart"/>
                  <w:tcBorders>
                    <w:top w:val="nil"/>
                    <w:left w:val="single" w:sz="4" w:space="0" w:color="auto"/>
                    <w:bottom w:val="single" w:sz="4" w:space="0" w:color="000000"/>
                    <w:right w:val="nil"/>
                  </w:tcBorders>
                  <w:shd w:val="clear" w:color="auto" w:fill="EAF1DD" w:themeFill="accent3" w:themeFillTint="33"/>
                  <w:hideMark/>
                </w:tcPr>
                <w:p w14:paraId="1565440E"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WHITEWATER</w:t>
                  </w:r>
                </w:p>
              </w:tc>
              <w:tc>
                <w:tcPr>
                  <w:tcW w:w="1232" w:type="dxa"/>
                  <w:tcBorders>
                    <w:top w:val="single" w:sz="4" w:space="0" w:color="auto"/>
                    <w:left w:val="single" w:sz="4" w:space="0" w:color="auto"/>
                    <w:bottom w:val="nil"/>
                    <w:right w:val="single" w:sz="4" w:space="0" w:color="auto"/>
                  </w:tcBorders>
                  <w:shd w:val="clear" w:color="auto" w:fill="EAF1DD" w:themeFill="accent3" w:themeFillTint="33"/>
                  <w:hideMark/>
                </w:tcPr>
                <w:p w14:paraId="68F09025"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Faculty</w:t>
                  </w:r>
                </w:p>
              </w:tc>
              <w:tc>
                <w:tcPr>
                  <w:tcW w:w="1170" w:type="dxa"/>
                  <w:tcBorders>
                    <w:top w:val="single" w:sz="4" w:space="0" w:color="auto"/>
                    <w:left w:val="nil"/>
                    <w:bottom w:val="nil"/>
                    <w:right w:val="nil"/>
                  </w:tcBorders>
                  <w:shd w:val="clear" w:color="auto" w:fill="auto"/>
                  <w:noWrap/>
                  <w:vAlign w:val="bottom"/>
                  <w:hideMark/>
                </w:tcPr>
                <w:p w14:paraId="6FD6CB15"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472</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1E39D732"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117</w:t>
                  </w:r>
                </w:p>
              </w:tc>
              <w:tc>
                <w:tcPr>
                  <w:tcW w:w="1350" w:type="dxa"/>
                  <w:tcBorders>
                    <w:top w:val="single" w:sz="4" w:space="0" w:color="auto"/>
                    <w:left w:val="nil"/>
                    <w:bottom w:val="nil"/>
                    <w:right w:val="single" w:sz="4" w:space="0" w:color="auto"/>
                  </w:tcBorders>
                  <w:shd w:val="clear" w:color="auto" w:fill="auto"/>
                  <w:noWrap/>
                  <w:vAlign w:val="bottom"/>
                  <w:hideMark/>
                </w:tcPr>
                <w:p w14:paraId="2C0168AA"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589</w:t>
                  </w:r>
                </w:p>
              </w:tc>
            </w:tr>
            <w:tr w:rsidR="00A7492E" w:rsidRPr="00A7492E" w14:paraId="1B98B41A" w14:textId="77777777" w:rsidTr="007B0929">
              <w:trPr>
                <w:trHeight w:val="255"/>
              </w:trPr>
              <w:tc>
                <w:tcPr>
                  <w:tcW w:w="1630" w:type="dxa"/>
                  <w:vMerge/>
                  <w:tcBorders>
                    <w:top w:val="nil"/>
                    <w:left w:val="single" w:sz="4" w:space="0" w:color="auto"/>
                    <w:bottom w:val="single" w:sz="4" w:space="0" w:color="000000"/>
                    <w:right w:val="nil"/>
                  </w:tcBorders>
                  <w:shd w:val="clear" w:color="auto" w:fill="EAF1DD" w:themeFill="accent3" w:themeFillTint="33"/>
                  <w:vAlign w:val="center"/>
                  <w:hideMark/>
                </w:tcPr>
                <w:p w14:paraId="55A980BF" w14:textId="77777777" w:rsidR="00A7492E" w:rsidRPr="00A7492E" w:rsidRDefault="00A7492E" w:rsidP="00A7492E">
                  <w:pPr>
                    <w:spacing w:after="0" w:line="240" w:lineRule="auto"/>
                    <w:rPr>
                      <w:rFonts w:ascii="Arial" w:eastAsia="Times New Roman" w:hAnsi="Arial" w:cs="Arial"/>
                      <w:b/>
                      <w:bCs/>
                      <w:color w:val="000000"/>
                      <w:sz w:val="20"/>
                      <w:szCs w:val="20"/>
                    </w:rPr>
                  </w:pPr>
                </w:p>
              </w:tc>
              <w:tc>
                <w:tcPr>
                  <w:tcW w:w="1232" w:type="dxa"/>
                  <w:tcBorders>
                    <w:top w:val="nil"/>
                    <w:left w:val="single" w:sz="4" w:space="0" w:color="auto"/>
                    <w:bottom w:val="single" w:sz="4" w:space="0" w:color="auto"/>
                    <w:right w:val="single" w:sz="4" w:space="0" w:color="auto"/>
                  </w:tcBorders>
                  <w:shd w:val="clear" w:color="auto" w:fill="EAF1DD" w:themeFill="accent3" w:themeFillTint="33"/>
                  <w:hideMark/>
                </w:tcPr>
                <w:p w14:paraId="62BD06A3"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Staff</w:t>
                  </w:r>
                </w:p>
              </w:tc>
              <w:tc>
                <w:tcPr>
                  <w:tcW w:w="1170" w:type="dxa"/>
                  <w:tcBorders>
                    <w:top w:val="nil"/>
                    <w:left w:val="nil"/>
                    <w:bottom w:val="nil"/>
                    <w:right w:val="nil"/>
                  </w:tcBorders>
                  <w:shd w:val="clear" w:color="auto" w:fill="auto"/>
                  <w:noWrap/>
                  <w:vAlign w:val="bottom"/>
                  <w:hideMark/>
                </w:tcPr>
                <w:p w14:paraId="08B48099"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463</w:t>
                  </w:r>
                </w:p>
              </w:tc>
              <w:tc>
                <w:tcPr>
                  <w:tcW w:w="1440" w:type="dxa"/>
                  <w:tcBorders>
                    <w:top w:val="nil"/>
                    <w:left w:val="single" w:sz="4" w:space="0" w:color="auto"/>
                    <w:bottom w:val="nil"/>
                    <w:right w:val="single" w:sz="4" w:space="0" w:color="auto"/>
                  </w:tcBorders>
                  <w:shd w:val="clear" w:color="auto" w:fill="auto"/>
                  <w:noWrap/>
                  <w:vAlign w:val="bottom"/>
                  <w:hideMark/>
                </w:tcPr>
                <w:p w14:paraId="0FB617D8"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53</w:t>
                  </w:r>
                </w:p>
              </w:tc>
              <w:tc>
                <w:tcPr>
                  <w:tcW w:w="1350" w:type="dxa"/>
                  <w:tcBorders>
                    <w:top w:val="nil"/>
                    <w:left w:val="nil"/>
                    <w:bottom w:val="nil"/>
                    <w:right w:val="single" w:sz="4" w:space="0" w:color="auto"/>
                  </w:tcBorders>
                  <w:shd w:val="clear" w:color="auto" w:fill="auto"/>
                  <w:noWrap/>
                  <w:vAlign w:val="bottom"/>
                  <w:hideMark/>
                </w:tcPr>
                <w:p w14:paraId="57BD7E07"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516</w:t>
                  </w:r>
                </w:p>
              </w:tc>
            </w:tr>
            <w:tr w:rsidR="00A7492E" w:rsidRPr="00A7492E" w14:paraId="160ECDBA" w14:textId="77777777" w:rsidTr="007B0929">
              <w:trPr>
                <w:trHeight w:val="255"/>
              </w:trPr>
              <w:tc>
                <w:tcPr>
                  <w:tcW w:w="1630" w:type="dxa"/>
                  <w:vMerge w:val="restart"/>
                  <w:tcBorders>
                    <w:top w:val="nil"/>
                    <w:left w:val="single" w:sz="4" w:space="0" w:color="auto"/>
                    <w:bottom w:val="single" w:sz="4" w:space="0" w:color="000000"/>
                    <w:right w:val="nil"/>
                  </w:tcBorders>
                  <w:shd w:val="clear" w:color="auto" w:fill="EAF1DD" w:themeFill="accent3" w:themeFillTint="33"/>
                  <w:hideMark/>
                </w:tcPr>
                <w:p w14:paraId="4C420FF4"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COLLEGES</w:t>
                  </w:r>
                </w:p>
              </w:tc>
              <w:tc>
                <w:tcPr>
                  <w:tcW w:w="1232" w:type="dxa"/>
                  <w:tcBorders>
                    <w:top w:val="single" w:sz="4" w:space="0" w:color="auto"/>
                    <w:left w:val="single" w:sz="4" w:space="0" w:color="auto"/>
                    <w:bottom w:val="nil"/>
                    <w:right w:val="single" w:sz="4" w:space="0" w:color="auto"/>
                  </w:tcBorders>
                  <w:shd w:val="clear" w:color="auto" w:fill="EAF1DD" w:themeFill="accent3" w:themeFillTint="33"/>
                  <w:hideMark/>
                </w:tcPr>
                <w:p w14:paraId="1D6ADA8F"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Faculty</w:t>
                  </w:r>
                </w:p>
              </w:tc>
              <w:tc>
                <w:tcPr>
                  <w:tcW w:w="1170" w:type="dxa"/>
                  <w:tcBorders>
                    <w:top w:val="single" w:sz="4" w:space="0" w:color="auto"/>
                    <w:left w:val="nil"/>
                    <w:bottom w:val="nil"/>
                    <w:right w:val="nil"/>
                  </w:tcBorders>
                  <w:shd w:val="clear" w:color="auto" w:fill="auto"/>
                  <w:noWrap/>
                  <w:vAlign w:val="bottom"/>
                  <w:hideMark/>
                </w:tcPr>
                <w:p w14:paraId="274F6E67"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320</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2D4B1FB7"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313</w:t>
                  </w:r>
                </w:p>
              </w:tc>
              <w:tc>
                <w:tcPr>
                  <w:tcW w:w="1350" w:type="dxa"/>
                  <w:tcBorders>
                    <w:top w:val="single" w:sz="4" w:space="0" w:color="auto"/>
                    <w:left w:val="nil"/>
                    <w:bottom w:val="nil"/>
                    <w:right w:val="single" w:sz="4" w:space="0" w:color="auto"/>
                  </w:tcBorders>
                  <w:shd w:val="clear" w:color="auto" w:fill="auto"/>
                  <w:noWrap/>
                  <w:vAlign w:val="bottom"/>
                  <w:hideMark/>
                </w:tcPr>
                <w:p w14:paraId="360C6F18"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633</w:t>
                  </w:r>
                </w:p>
              </w:tc>
            </w:tr>
            <w:tr w:rsidR="00A7492E" w:rsidRPr="00A7492E" w14:paraId="52E9540C" w14:textId="77777777" w:rsidTr="007B0929">
              <w:trPr>
                <w:trHeight w:val="255"/>
              </w:trPr>
              <w:tc>
                <w:tcPr>
                  <w:tcW w:w="1630" w:type="dxa"/>
                  <w:vMerge/>
                  <w:tcBorders>
                    <w:top w:val="nil"/>
                    <w:left w:val="single" w:sz="4" w:space="0" w:color="auto"/>
                    <w:bottom w:val="single" w:sz="4" w:space="0" w:color="000000"/>
                    <w:right w:val="nil"/>
                  </w:tcBorders>
                  <w:shd w:val="clear" w:color="auto" w:fill="EAF1DD" w:themeFill="accent3" w:themeFillTint="33"/>
                  <w:vAlign w:val="center"/>
                  <w:hideMark/>
                </w:tcPr>
                <w:p w14:paraId="50F72286" w14:textId="77777777" w:rsidR="00A7492E" w:rsidRPr="00A7492E" w:rsidRDefault="00A7492E" w:rsidP="00A7492E">
                  <w:pPr>
                    <w:spacing w:after="0" w:line="240" w:lineRule="auto"/>
                    <w:rPr>
                      <w:rFonts w:ascii="Arial" w:eastAsia="Times New Roman" w:hAnsi="Arial" w:cs="Arial"/>
                      <w:b/>
                      <w:bCs/>
                      <w:color w:val="000000"/>
                      <w:sz w:val="20"/>
                      <w:szCs w:val="20"/>
                    </w:rPr>
                  </w:pPr>
                </w:p>
              </w:tc>
              <w:tc>
                <w:tcPr>
                  <w:tcW w:w="1232" w:type="dxa"/>
                  <w:tcBorders>
                    <w:top w:val="nil"/>
                    <w:left w:val="single" w:sz="4" w:space="0" w:color="auto"/>
                    <w:bottom w:val="single" w:sz="4" w:space="0" w:color="auto"/>
                    <w:right w:val="single" w:sz="4" w:space="0" w:color="auto"/>
                  </w:tcBorders>
                  <w:shd w:val="clear" w:color="auto" w:fill="EAF1DD" w:themeFill="accent3" w:themeFillTint="33"/>
                  <w:hideMark/>
                </w:tcPr>
                <w:p w14:paraId="33F4533C"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Staff</w:t>
                  </w:r>
                </w:p>
              </w:tc>
              <w:tc>
                <w:tcPr>
                  <w:tcW w:w="1170" w:type="dxa"/>
                  <w:tcBorders>
                    <w:top w:val="nil"/>
                    <w:left w:val="nil"/>
                    <w:bottom w:val="single" w:sz="4" w:space="0" w:color="auto"/>
                    <w:right w:val="nil"/>
                  </w:tcBorders>
                  <w:shd w:val="clear" w:color="auto" w:fill="auto"/>
                  <w:noWrap/>
                  <w:vAlign w:val="bottom"/>
                  <w:hideMark/>
                </w:tcPr>
                <w:p w14:paraId="3F29F57F"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271</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7BBD4AA"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115</w:t>
                  </w:r>
                </w:p>
              </w:tc>
              <w:tc>
                <w:tcPr>
                  <w:tcW w:w="1350" w:type="dxa"/>
                  <w:tcBorders>
                    <w:top w:val="nil"/>
                    <w:left w:val="nil"/>
                    <w:bottom w:val="single" w:sz="4" w:space="0" w:color="auto"/>
                    <w:right w:val="single" w:sz="4" w:space="0" w:color="auto"/>
                  </w:tcBorders>
                  <w:shd w:val="clear" w:color="auto" w:fill="auto"/>
                  <w:noWrap/>
                  <w:vAlign w:val="bottom"/>
                  <w:hideMark/>
                </w:tcPr>
                <w:p w14:paraId="0BDA5B32"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386</w:t>
                  </w:r>
                </w:p>
              </w:tc>
            </w:tr>
            <w:tr w:rsidR="00A7492E" w:rsidRPr="00A7492E" w14:paraId="1457C003" w14:textId="77777777" w:rsidTr="007B0929">
              <w:trPr>
                <w:trHeight w:val="255"/>
              </w:trPr>
              <w:tc>
                <w:tcPr>
                  <w:tcW w:w="1630" w:type="dxa"/>
                  <w:vMerge w:val="restart"/>
                  <w:tcBorders>
                    <w:top w:val="nil"/>
                    <w:left w:val="single" w:sz="4" w:space="0" w:color="auto"/>
                    <w:bottom w:val="single" w:sz="4" w:space="0" w:color="000000"/>
                    <w:right w:val="nil"/>
                  </w:tcBorders>
                  <w:shd w:val="clear" w:color="auto" w:fill="EAF1DD" w:themeFill="accent3" w:themeFillTint="33"/>
                  <w:hideMark/>
                </w:tcPr>
                <w:p w14:paraId="5C4A23C1"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Extension</w:t>
                  </w:r>
                </w:p>
              </w:tc>
              <w:tc>
                <w:tcPr>
                  <w:tcW w:w="1232" w:type="dxa"/>
                  <w:tcBorders>
                    <w:top w:val="single" w:sz="4" w:space="0" w:color="auto"/>
                    <w:left w:val="single" w:sz="4" w:space="0" w:color="auto"/>
                    <w:bottom w:val="nil"/>
                    <w:right w:val="single" w:sz="4" w:space="0" w:color="auto"/>
                  </w:tcBorders>
                  <w:shd w:val="clear" w:color="auto" w:fill="EAF1DD" w:themeFill="accent3" w:themeFillTint="33"/>
                  <w:hideMark/>
                </w:tcPr>
                <w:p w14:paraId="234A8353"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Faculty</w:t>
                  </w:r>
                </w:p>
              </w:tc>
              <w:tc>
                <w:tcPr>
                  <w:tcW w:w="1170" w:type="dxa"/>
                  <w:tcBorders>
                    <w:top w:val="single" w:sz="4" w:space="0" w:color="auto"/>
                    <w:left w:val="nil"/>
                    <w:bottom w:val="nil"/>
                    <w:right w:val="nil"/>
                  </w:tcBorders>
                  <w:shd w:val="clear" w:color="auto" w:fill="auto"/>
                  <w:noWrap/>
                  <w:vAlign w:val="bottom"/>
                  <w:hideMark/>
                </w:tcPr>
                <w:p w14:paraId="7C9CC351"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317</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24FDF529"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46</w:t>
                  </w:r>
                </w:p>
              </w:tc>
              <w:tc>
                <w:tcPr>
                  <w:tcW w:w="1350" w:type="dxa"/>
                  <w:tcBorders>
                    <w:top w:val="single" w:sz="4" w:space="0" w:color="auto"/>
                    <w:left w:val="nil"/>
                    <w:bottom w:val="nil"/>
                    <w:right w:val="single" w:sz="4" w:space="0" w:color="auto"/>
                  </w:tcBorders>
                  <w:shd w:val="clear" w:color="auto" w:fill="auto"/>
                  <w:noWrap/>
                  <w:vAlign w:val="bottom"/>
                  <w:hideMark/>
                </w:tcPr>
                <w:p w14:paraId="3DB2EDC0"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363</w:t>
                  </w:r>
                </w:p>
              </w:tc>
            </w:tr>
            <w:tr w:rsidR="00A7492E" w:rsidRPr="00A7492E" w14:paraId="41D80E48" w14:textId="77777777" w:rsidTr="007B0929">
              <w:trPr>
                <w:trHeight w:val="255"/>
              </w:trPr>
              <w:tc>
                <w:tcPr>
                  <w:tcW w:w="1630" w:type="dxa"/>
                  <w:vMerge/>
                  <w:tcBorders>
                    <w:top w:val="nil"/>
                    <w:left w:val="single" w:sz="4" w:space="0" w:color="auto"/>
                    <w:bottom w:val="single" w:sz="4" w:space="0" w:color="000000"/>
                    <w:right w:val="nil"/>
                  </w:tcBorders>
                  <w:shd w:val="clear" w:color="auto" w:fill="EAF1DD" w:themeFill="accent3" w:themeFillTint="33"/>
                  <w:vAlign w:val="center"/>
                  <w:hideMark/>
                </w:tcPr>
                <w:p w14:paraId="056DDDBA" w14:textId="77777777" w:rsidR="00A7492E" w:rsidRPr="00A7492E" w:rsidRDefault="00A7492E" w:rsidP="00A7492E">
                  <w:pPr>
                    <w:spacing w:after="0" w:line="240" w:lineRule="auto"/>
                    <w:rPr>
                      <w:rFonts w:ascii="Arial" w:eastAsia="Times New Roman" w:hAnsi="Arial" w:cs="Arial"/>
                      <w:b/>
                      <w:bCs/>
                      <w:color w:val="000000"/>
                      <w:sz w:val="20"/>
                      <w:szCs w:val="20"/>
                    </w:rPr>
                  </w:pPr>
                </w:p>
              </w:tc>
              <w:tc>
                <w:tcPr>
                  <w:tcW w:w="1232" w:type="dxa"/>
                  <w:tcBorders>
                    <w:top w:val="nil"/>
                    <w:left w:val="single" w:sz="4" w:space="0" w:color="auto"/>
                    <w:bottom w:val="single" w:sz="4" w:space="0" w:color="auto"/>
                    <w:right w:val="single" w:sz="4" w:space="0" w:color="auto"/>
                  </w:tcBorders>
                  <w:shd w:val="clear" w:color="auto" w:fill="EAF1DD" w:themeFill="accent3" w:themeFillTint="33"/>
                  <w:hideMark/>
                </w:tcPr>
                <w:p w14:paraId="62DFE99B"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Staff</w:t>
                  </w:r>
                </w:p>
              </w:tc>
              <w:tc>
                <w:tcPr>
                  <w:tcW w:w="1170" w:type="dxa"/>
                  <w:tcBorders>
                    <w:top w:val="nil"/>
                    <w:left w:val="nil"/>
                    <w:bottom w:val="nil"/>
                    <w:right w:val="nil"/>
                  </w:tcBorders>
                  <w:shd w:val="clear" w:color="auto" w:fill="auto"/>
                  <w:noWrap/>
                  <w:vAlign w:val="bottom"/>
                  <w:hideMark/>
                </w:tcPr>
                <w:p w14:paraId="4311D2A0"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613</w:t>
                  </w:r>
                </w:p>
              </w:tc>
              <w:tc>
                <w:tcPr>
                  <w:tcW w:w="1440" w:type="dxa"/>
                  <w:tcBorders>
                    <w:top w:val="nil"/>
                    <w:left w:val="single" w:sz="4" w:space="0" w:color="auto"/>
                    <w:bottom w:val="nil"/>
                    <w:right w:val="single" w:sz="4" w:space="0" w:color="auto"/>
                  </w:tcBorders>
                  <w:shd w:val="clear" w:color="auto" w:fill="auto"/>
                  <w:noWrap/>
                  <w:vAlign w:val="bottom"/>
                  <w:hideMark/>
                </w:tcPr>
                <w:p w14:paraId="1DCA0C82"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126</w:t>
                  </w:r>
                </w:p>
              </w:tc>
              <w:tc>
                <w:tcPr>
                  <w:tcW w:w="1350" w:type="dxa"/>
                  <w:tcBorders>
                    <w:top w:val="nil"/>
                    <w:left w:val="nil"/>
                    <w:bottom w:val="nil"/>
                    <w:right w:val="single" w:sz="4" w:space="0" w:color="auto"/>
                  </w:tcBorders>
                  <w:shd w:val="clear" w:color="auto" w:fill="auto"/>
                  <w:noWrap/>
                  <w:vAlign w:val="bottom"/>
                  <w:hideMark/>
                </w:tcPr>
                <w:p w14:paraId="6B4E9C88"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739</w:t>
                  </w:r>
                </w:p>
              </w:tc>
            </w:tr>
            <w:tr w:rsidR="00A7492E" w:rsidRPr="00A7492E" w14:paraId="5A698382" w14:textId="77777777" w:rsidTr="007B0929">
              <w:trPr>
                <w:trHeight w:val="255"/>
              </w:trPr>
              <w:tc>
                <w:tcPr>
                  <w:tcW w:w="1630" w:type="dxa"/>
                  <w:tcBorders>
                    <w:top w:val="nil"/>
                    <w:left w:val="single" w:sz="4" w:space="0" w:color="auto"/>
                    <w:bottom w:val="single" w:sz="4" w:space="0" w:color="000000"/>
                    <w:right w:val="single" w:sz="4" w:space="0" w:color="auto"/>
                  </w:tcBorders>
                  <w:shd w:val="clear" w:color="auto" w:fill="EAF1DD" w:themeFill="accent3" w:themeFillTint="33"/>
                  <w:hideMark/>
                </w:tcPr>
                <w:p w14:paraId="18A8CA2F"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System Admin</w:t>
                  </w:r>
                  <w:r w:rsidR="001B0B88">
                    <w:rPr>
                      <w:rFonts w:ascii="Arial" w:eastAsia="Times New Roman" w:hAnsi="Arial" w:cs="Arial"/>
                      <w:b/>
                      <w:bCs/>
                      <w:color w:val="000000"/>
                      <w:sz w:val="20"/>
                      <w:szCs w:val="20"/>
                    </w:rPr>
                    <w:t>istration</w:t>
                  </w:r>
                </w:p>
              </w:tc>
              <w:tc>
                <w:tcPr>
                  <w:tcW w:w="1232" w:type="dxa"/>
                  <w:tcBorders>
                    <w:top w:val="single" w:sz="4" w:space="0" w:color="auto"/>
                    <w:left w:val="nil"/>
                    <w:bottom w:val="nil"/>
                    <w:right w:val="single" w:sz="4" w:space="0" w:color="auto"/>
                  </w:tcBorders>
                  <w:shd w:val="clear" w:color="auto" w:fill="EAF1DD" w:themeFill="accent3" w:themeFillTint="33"/>
                  <w:hideMark/>
                </w:tcPr>
                <w:p w14:paraId="1E612160" w14:textId="77777777" w:rsidR="0053486D" w:rsidRDefault="0053486D" w:rsidP="00A7492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Faculty</w:t>
                  </w:r>
                </w:p>
                <w:p w14:paraId="0F4A317A" w14:textId="77777777" w:rsidR="00A7492E" w:rsidRPr="00A7492E" w:rsidRDefault="00A7492E" w:rsidP="00A7492E">
                  <w:pPr>
                    <w:spacing w:after="0" w:line="240" w:lineRule="auto"/>
                    <w:rPr>
                      <w:rFonts w:ascii="Arial" w:eastAsia="Times New Roman" w:hAnsi="Arial" w:cs="Arial"/>
                      <w:b/>
                      <w:bCs/>
                      <w:color w:val="000000"/>
                      <w:sz w:val="20"/>
                      <w:szCs w:val="20"/>
                    </w:rPr>
                  </w:pPr>
                  <w:r w:rsidRPr="00A7492E">
                    <w:rPr>
                      <w:rFonts w:ascii="Arial" w:eastAsia="Times New Roman" w:hAnsi="Arial" w:cs="Arial"/>
                      <w:b/>
                      <w:bCs/>
                      <w:color w:val="000000"/>
                      <w:sz w:val="20"/>
                      <w:szCs w:val="20"/>
                    </w:rPr>
                    <w:t>Staff</w:t>
                  </w:r>
                </w:p>
              </w:tc>
              <w:tc>
                <w:tcPr>
                  <w:tcW w:w="1170" w:type="dxa"/>
                  <w:tcBorders>
                    <w:top w:val="single" w:sz="4" w:space="0" w:color="auto"/>
                    <w:left w:val="nil"/>
                    <w:bottom w:val="nil"/>
                    <w:right w:val="nil"/>
                  </w:tcBorders>
                  <w:shd w:val="clear" w:color="auto" w:fill="auto"/>
                  <w:noWrap/>
                  <w:vAlign w:val="bottom"/>
                  <w:hideMark/>
                </w:tcPr>
                <w:p w14:paraId="2C58C161"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262</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63FF7895"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17</w:t>
                  </w:r>
                </w:p>
              </w:tc>
              <w:tc>
                <w:tcPr>
                  <w:tcW w:w="1350" w:type="dxa"/>
                  <w:tcBorders>
                    <w:top w:val="single" w:sz="4" w:space="0" w:color="auto"/>
                    <w:left w:val="nil"/>
                    <w:bottom w:val="nil"/>
                    <w:right w:val="single" w:sz="4" w:space="0" w:color="auto"/>
                  </w:tcBorders>
                  <w:shd w:val="clear" w:color="auto" w:fill="auto"/>
                  <w:noWrap/>
                  <w:vAlign w:val="bottom"/>
                  <w:hideMark/>
                </w:tcPr>
                <w:p w14:paraId="5AC1DDDE" w14:textId="77777777" w:rsidR="00A7492E" w:rsidRPr="00A7492E" w:rsidRDefault="00A7492E" w:rsidP="00A7492E">
                  <w:pPr>
                    <w:spacing w:after="0" w:line="240" w:lineRule="auto"/>
                    <w:jc w:val="right"/>
                    <w:rPr>
                      <w:rFonts w:ascii="Arial" w:eastAsia="Times New Roman" w:hAnsi="Arial" w:cs="Arial"/>
                      <w:color w:val="000000"/>
                      <w:sz w:val="20"/>
                      <w:szCs w:val="20"/>
                    </w:rPr>
                  </w:pPr>
                  <w:r w:rsidRPr="00A7492E">
                    <w:rPr>
                      <w:rFonts w:ascii="Arial" w:eastAsia="Times New Roman" w:hAnsi="Arial" w:cs="Arial"/>
                      <w:color w:val="000000"/>
                      <w:sz w:val="20"/>
                      <w:szCs w:val="20"/>
                    </w:rPr>
                    <w:t>279</w:t>
                  </w:r>
                </w:p>
              </w:tc>
            </w:tr>
          </w:tbl>
          <w:p w14:paraId="1CE707B7" w14:textId="77777777" w:rsidR="00A7492E" w:rsidRDefault="00A7492E" w:rsidP="0027042A">
            <w:pPr>
              <w:rPr>
                <w:b/>
              </w:rPr>
            </w:pPr>
          </w:p>
        </w:tc>
      </w:tr>
      <w:tr w:rsidR="0095401C" w:rsidRPr="0095401C" w14:paraId="6065C484" w14:textId="77777777" w:rsidTr="007B0929">
        <w:tc>
          <w:tcPr>
            <w:tcW w:w="625" w:type="dxa"/>
            <w:shd w:val="clear" w:color="auto" w:fill="auto"/>
          </w:tcPr>
          <w:p w14:paraId="6C9A14E0" w14:textId="77777777" w:rsidR="0095401C" w:rsidRDefault="0095401C" w:rsidP="0027042A">
            <w:pPr>
              <w:jc w:val="center"/>
            </w:pPr>
            <w:r>
              <w:lastRenderedPageBreak/>
              <w:t>19</w:t>
            </w:r>
          </w:p>
        </w:tc>
        <w:tc>
          <w:tcPr>
            <w:tcW w:w="2430" w:type="dxa"/>
            <w:shd w:val="clear" w:color="auto" w:fill="E5DFEC" w:themeFill="accent4" w:themeFillTint="33"/>
            <w:vAlign w:val="center"/>
          </w:tcPr>
          <w:p w14:paraId="6E1FBAC0" w14:textId="77777777" w:rsidR="0095401C" w:rsidRDefault="0095401C" w:rsidP="0095401C">
            <w:r>
              <w:t>In Section 4.1.1, the RFP states: "Proposer must be able to provide a separate account for each UWS Institution listed in Appendix A."</w:t>
            </w:r>
          </w:p>
          <w:p w14:paraId="524C4ECF" w14:textId="77777777" w:rsidR="0095401C" w:rsidRDefault="0095401C" w:rsidP="0095401C">
            <w:r>
              <w:t>Question: Will institutions need to cross-list courses and enable students to exist at multiple campuses simultaneously?</w:t>
            </w:r>
          </w:p>
          <w:p w14:paraId="54784D2A" w14:textId="77777777" w:rsidR="0095401C" w:rsidRDefault="0095401C" w:rsidP="0095401C"/>
        </w:tc>
        <w:tc>
          <w:tcPr>
            <w:tcW w:w="7735" w:type="dxa"/>
            <w:shd w:val="clear" w:color="auto" w:fill="EAF1DD" w:themeFill="accent3" w:themeFillTint="33"/>
          </w:tcPr>
          <w:p w14:paraId="263528AA" w14:textId="3B67B94C" w:rsidR="0095401C" w:rsidRDefault="00A22827" w:rsidP="0027042A">
            <w:pPr>
              <w:rPr>
                <w:b/>
              </w:rPr>
            </w:pPr>
            <w:r>
              <w:rPr>
                <w:b/>
              </w:rPr>
              <w:t xml:space="preserve">Yes, </w:t>
            </w:r>
            <w:r w:rsidR="005A7CB5">
              <w:rPr>
                <w:b/>
              </w:rPr>
              <w:t xml:space="preserve">institutions need the ability to cross-list courses.  Yes, </w:t>
            </w:r>
            <w:r>
              <w:rPr>
                <w:b/>
              </w:rPr>
              <w:t>students may exist at multiple campuses simultaneously.</w:t>
            </w:r>
          </w:p>
        </w:tc>
      </w:tr>
      <w:tr w:rsidR="004D5CF2" w:rsidRPr="0095401C" w14:paraId="68E21E8A" w14:textId="77777777" w:rsidTr="007B0929">
        <w:tc>
          <w:tcPr>
            <w:tcW w:w="625" w:type="dxa"/>
            <w:shd w:val="clear" w:color="auto" w:fill="auto"/>
          </w:tcPr>
          <w:p w14:paraId="3B30F616" w14:textId="77777777" w:rsidR="004D5CF2" w:rsidRDefault="004D5CF2" w:rsidP="0027042A">
            <w:pPr>
              <w:jc w:val="center"/>
            </w:pPr>
            <w:r>
              <w:t>20</w:t>
            </w:r>
          </w:p>
        </w:tc>
        <w:tc>
          <w:tcPr>
            <w:tcW w:w="2430" w:type="dxa"/>
            <w:shd w:val="clear" w:color="auto" w:fill="E5DFEC" w:themeFill="accent4" w:themeFillTint="33"/>
            <w:vAlign w:val="center"/>
          </w:tcPr>
          <w:p w14:paraId="605D86AD" w14:textId="77777777" w:rsidR="004D5CF2" w:rsidRPr="004D5CF2" w:rsidRDefault="004D5CF2" w:rsidP="004D5CF2">
            <w:r>
              <w:t>Section 2.5 states “No mention of the cost proposal may be made in the response to the Functional, Technical or Service requirements of this Request for Proposal.” If a particular tool or feature pertaining to a functional/technical/service requirement is available but not included in the proposed solution, is it acceptable to note it as an option available at additional cost (without reference to the cost proposal document or dollar value)? Is there any specific preferred language for doing so?</w:t>
            </w:r>
          </w:p>
          <w:p w14:paraId="7F048F22" w14:textId="77777777" w:rsidR="004D5CF2" w:rsidRDefault="004D5CF2" w:rsidP="0095401C"/>
        </w:tc>
        <w:tc>
          <w:tcPr>
            <w:tcW w:w="7735" w:type="dxa"/>
            <w:shd w:val="clear" w:color="auto" w:fill="EAF1DD" w:themeFill="accent3" w:themeFillTint="33"/>
          </w:tcPr>
          <w:p w14:paraId="6CF407F4" w14:textId="0EFEABE2" w:rsidR="004D5CF2" w:rsidRPr="00ED7FEE" w:rsidRDefault="004D5CF2" w:rsidP="0027042A">
            <w:pPr>
              <w:rPr>
                <w:b/>
              </w:rPr>
            </w:pPr>
            <w:r w:rsidRPr="00ED7FEE">
              <w:rPr>
                <w:b/>
              </w:rPr>
              <w:t>Yes</w:t>
            </w:r>
            <w:r w:rsidR="00ED7FEE" w:rsidRPr="00ED7FEE">
              <w:rPr>
                <w:b/>
              </w:rPr>
              <w:t>, it is acceptable to note it as an option available at additional cost.</w:t>
            </w:r>
          </w:p>
        </w:tc>
      </w:tr>
      <w:tr w:rsidR="004D5CF2" w:rsidRPr="0095401C" w14:paraId="4A8516D4" w14:textId="77777777" w:rsidTr="007B0929">
        <w:tc>
          <w:tcPr>
            <w:tcW w:w="625" w:type="dxa"/>
            <w:shd w:val="clear" w:color="auto" w:fill="auto"/>
          </w:tcPr>
          <w:p w14:paraId="45BA7A8F" w14:textId="77777777" w:rsidR="004D5CF2" w:rsidRDefault="0040297E" w:rsidP="0027042A">
            <w:pPr>
              <w:jc w:val="center"/>
            </w:pPr>
            <w:r>
              <w:t>21</w:t>
            </w:r>
          </w:p>
        </w:tc>
        <w:tc>
          <w:tcPr>
            <w:tcW w:w="2430" w:type="dxa"/>
            <w:shd w:val="clear" w:color="auto" w:fill="E5DFEC" w:themeFill="accent4" w:themeFillTint="33"/>
            <w:vAlign w:val="center"/>
          </w:tcPr>
          <w:p w14:paraId="1DFCA568" w14:textId="77777777" w:rsidR="004D5CF2" w:rsidRDefault="004D5CF2" w:rsidP="004D5CF2">
            <w:r>
              <w:t xml:space="preserve">Clarification is requested on the timeframe for provision of a sandbox environment—is it expected within 7 days or 2 weeks? Is the “demonstration site” for UW evaluators in section 2.8 the same as the “sandbox” </w:t>
            </w:r>
            <w:r>
              <w:lastRenderedPageBreak/>
              <w:t>referenced in section 2.4.2?</w:t>
            </w:r>
          </w:p>
          <w:p w14:paraId="00623803" w14:textId="77777777" w:rsidR="004D5CF2" w:rsidRDefault="004D5CF2" w:rsidP="004D5CF2">
            <w:pPr>
              <w:numPr>
                <w:ilvl w:val="0"/>
                <w:numId w:val="9"/>
              </w:numPr>
            </w:pPr>
            <w:r>
              <w:t xml:space="preserve">Section 2.4.2: “Access to the “sandbox” as well as any licenses, waivers, nondisclosure agreements, or other releases that proposers may require in order for these members of the Evaluation team to </w:t>
            </w:r>
            <w:r>
              <w:rPr>
                <w:b/>
                <w:bCs/>
              </w:rPr>
              <w:t>access the “sandbox” as described must be provided within seven (7) days of notification of proposer’s finalist standing,</w:t>
            </w:r>
            <w:r>
              <w:t xml:space="preserve"> at no cost to the University.” </w:t>
            </w:r>
          </w:p>
          <w:p w14:paraId="530B8B87" w14:textId="77777777" w:rsidR="004D5CF2" w:rsidRDefault="004D5CF2" w:rsidP="004D5CF2">
            <w:pPr>
              <w:numPr>
                <w:ilvl w:val="0"/>
                <w:numId w:val="9"/>
              </w:numPr>
            </w:pPr>
            <w:r>
              <w:t xml:space="preserve">Section 2.8: “Top-scoring vendor(s) may be required to install and demonstrate the proposed product(s) and/or service(s) at a UW site, or to provide guest access to a fully functional demonstration site so UW evaluators can review and test the proposed product(s).  This may include usability and accessibility testing of any kind, as deemed </w:t>
            </w:r>
            <w:r>
              <w:lastRenderedPageBreak/>
              <w:t xml:space="preserve">necessary by the University. </w:t>
            </w:r>
            <w:r>
              <w:rPr>
                <w:b/>
                <w:bCs/>
              </w:rPr>
              <w:t>Product(s) being demonstrated must be available and ready for UW evaluators’ use upon two (2) weeks’ notice</w:t>
            </w:r>
            <w:r>
              <w:t>.”</w:t>
            </w:r>
          </w:p>
          <w:p w14:paraId="7CF49BF9" w14:textId="77777777" w:rsidR="004D5CF2" w:rsidRDefault="004D5CF2" w:rsidP="004D5CF2"/>
        </w:tc>
        <w:tc>
          <w:tcPr>
            <w:tcW w:w="7735" w:type="dxa"/>
            <w:shd w:val="clear" w:color="auto" w:fill="EAF1DD" w:themeFill="accent3" w:themeFillTint="33"/>
          </w:tcPr>
          <w:p w14:paraId="44478A14" w14:textId="77777777" w:rsidR="004D5CF2" w:rsidRDefault="00530E5E" w:rsidP="0027042A">
            <w:pPr>
              <w:rPr>
                <w:b/>
              </w:rPr>
            </w:pPr>
            <w:r>
              <w:rPr>
                <w:b/>
              </w:rPr>
              <w:lastRenderedPageBreak/>
              <w:t>Correction to section 2.8:</w:t>
            </w:r>
          </w:p>
          <w:p w14:paraId="6C3E275D" w14:textId="77777777" w:rsidR="00530E5E" w:rsidRDefault="00530E5E" w:rsidP="0027042A"/>
          <w:p w14:paraId="4F109731" w14:textId="47B256AC" w:rsidR="00530E5E" w:rsidRDefault="00530E5E" w:rsidP="00F12E30">
            <w:pPr>
              <w:rPr>
                <w:b/>
              </w:rPr>
            </w:pPr>
            <w:r>
              <w:rPr>
                <w:b/>
                <w:bCs/>
              </w:rPr>
              <w:t>Product(s) being demonstrated must be available and ready for UW evaluators’ use upon one (1) weeks’ notice</w:t>
            </w:r>
            <w:r>
              <w:t xml:space="preserve">.” </w:t>
            </w:r>
          </w:p>
        </w:tc>
      </w:tr>
      <w:tr w:rsidR="0040297E" w:rsidRPr="0095401C" w14:paraId="2FE30E00" w14:textId="77777777" w:rsidTr="007B0929">
        <w:tc>
          <w:tcPr>
            <w:tcW w:w="625" w:type="dxa"/>
          </w:tcPr>
          <w:p w14:paraId="6EC9AFA9" w14:textId="77777777" w:rsidR="0040297E" w:rsidRDefault="0040297E" w:rsidP="0027042A">
            <w:pPr>
              <w:jc w:val="center"/>
            </w:pPr>
            <w:r>
              <w:lastRenderedPageBreak/>
              <w:t>22</w:t>
            </w:r>
          </w:p>
        </w:tc>
        <w:tc>
          <w:tcPr>
            <w:tcW w:w="2430" w:type="dxa"/>
            <w:shd w:val="clear" w:color="auto" w:fill="E5DFEC" w:themeFill="accent4" w:themeFillTint="33"/>
            <w:vAlign w:val="center"/>
          </w:tcPr>
          <w:p w14:paraId="4A64CEC5" w14:textId="77777777" w:rsidR="0040297E" w:rsidRDefault="0040297E" w:rsidP="0040297E">
            <w:r>
              <w:t>Will the information asked for in section 4.2.3 (past cancelled contracts) be kept private and confidential?</w:t>
            </w:r>
          </w:p>
          <w:p w14:paraId="185D3675" w14:textId="77777777" w:rsidR="0040297E" w:rsidRDefault="0040297E" w:rsidP="004D5CF2"/>
        </w:tc>
        <w:tc>
          <w:tcPr>
            <w:tcW w:w="7735" w:type="dxa"/>
            <w:shd w:val="clear" w:color="auto" w:fill="EAF1DD" w:themeFill="accent3" w:themeFillTint="33"/>
          </w:tcPr>
          <w:p w14:paraId="4AFEE6A4" w14:textId="77777777" w:rsidR="0040297E" w:rsidRDefault="0040297E" w:rsidP="0027042A">
            <w:pPr>
              <w:rPr>
                <w:b/>
              </w:rPr>
            </w:pPr>
            <w:r>
              <w:rPr>
                <w:b/>
              </w:rPr>
              <w:t>Yes.  Please designate it as a Trade Secret on the form provided.</w:t>
            </w:r>
          </w:p>
        </w:tc>
      </w:tr>
      <w:tr w:rsidR="0040297E" w:rsidRPr="0095401C" w14:paraId="39023A01" w14:textId="77777777" w:rsidTr="007B0929">
        <w:tc>
          <w:tcPr>
            <w:tcW w:w="625" w:type="dxa"/>
            <w:shd w:val="clear" w:color="auto" w:fill="auto"/>
          </w:tcPr>
          <w:p w14:paraId="349CE979" w14:textId="77777777" w:rsidR="0040297E" w:rsidRDefault="0040297E" w:rsidP="0027042A">
            <w:pPr>
              <w:jc w:val="center"/>
            </w:pPr>
            <w:r>
              <w:t>23</w:t>
            </w:r>
          </w:p>
        </w:tc>
        <w:tc>
          <w:tcPr>
            <w:tcW w:w="2430" w:type="dxa"/>
            <w:shd w:val="clear" w:color="auto" w:fill="E5DFEC" w:themeFill="accent4" w:themeFillTint="33"/>
            <w:vAlign w:val="center"/>
          </w:tcPr>
          <w:p w14:paraId="02B587C6" w14:textId="77777777" w:rsidR="0040297E" w:rsidRDefault="0040297E" w:rsidP="0040297E">
            <w:pPr>
              <w:rPr>
                <w:color w:val="000000"/>
              </w:rPr>
            </w:pPr>
            <w:r>
              <w:rPr>
                <w:color w:val="000000"/>
              </w:rPr>
              <w:t>Can you describe how this is being done today (with IMS LIS 2.0 or some other method)? Does Salesforce support LIS (we do not believe it does but want to clarify)? Have you created a custom plugin for Salesforce?</w:t>
            </w:r>
          </w:p>
          <w:p w14:paraId="09266EFB" w14:textId="77777777" w:rsidR="0040297E" w:rsidRDefault="0040297E" w:rsidP="0040297E">
            <w:pPr>
              <w:rPr>
                <w:color w:val="000000"/>
              </w:rPr>
            </w:pPr>
          </w:p>
          <w:p w14:paraId="227C4192" w14:textId="77777777" w:rsidR="0040297E" w:rsidRPr="0040297E" w:rsidRDefault="0040297E" w:rsidP="0040297E">
            <w:pPr>
              <w:pStyle w:val="ListParagraph"/>
              <w:numPr>
                <w:ilvl w:val="0"/>
                <w:numId w:val="14"/>
              </w:numPr>
              <w:rPr>
                <w:color w:val="000000"/>
              </w:rPr>
            </w:pPr>
            <w:r w:rsidRPr="0040297E">
              <w:rPr>
                <w:color w:val="000000"/>
              </w:rPr>
              <w:t>5.2.9.2.     </w:t>
            </w:r>
            <w:r w:rsidRPr="0040297E">
              <w:rPr>
                <w:color w:val="000000"/>
                <w:sz w:val="14"/>
                <w:szCs w:val="14"/>
              </w:rPr>
              <w:t> </w:t>
            </w:r>
            <w:r w:rsidRPr="0040297E">
              <w:rPr>
                <w:color w:val="000000"/>
              </w:rPr>
              <w:t xml:space="preserve">Describe how the solution integrates with Student Information Systems (SIS).  The UW uses multiple PeopleSoft SIS’s and a Salesforce Student Engagement System (SEG).  At a minimum, integration with the solution will include the automated daily bulk extract, transform, transmission and import of student, </w:t>
            </w:r>
            <w:r w:rsidRPr="0040297E">
              <w:rPr>
                <w:color w:val="000000"/>
              </w:rPr>
              <w:lastRenderedPageBreak/>
              <w:t>instructor, course, enrollment, and role data from the SIS/SEG.  The UW prefers the IMS LIS 2.0 standard for integration with Student Information Systems.  If selected as a finalist, be prepared to demonstrate how this integration is accomplished.</w:t>
            </w:r>
          </w:p>
          <w:p w14:paraId="13EC32DB" w14:textId="77777777" w:rsidR="0040297E" w:rsidRPr="0040297E" w:rsidRDefault="0040297E" w:rsidP="0040297E">
            <w:pPr>
              <w:pStyle w:val="ListParagraph"/>
              <w:numPr>
                <w:ilvl w:val="0"/>
                <w:numId w:val="14"/>
              </w:numPr>
              <w:rPr>
                <w:color w:val="000000"/>
              </w:rPr>
            </w:pPr>
            <w:r w:rsidRPr="0040297E">
              <w:rPr>
                <w:color w:val="000000"/>
              </w:rPr>
              <w:t>5.2.9.3 Describe the process for automatic transmission of final course grade data from the solution directly to the SIS.</w:t>
            </w:r>
          </w:p>
          <w:p w14:paraId="6767C852" w14:textId="77777777" w:rsidR="0040297E" w:rsidRDefault="0040297E" w:rsidP="0040297E"/>
        </w:tc>
        <w:tc>
          <w:tcPr>
            <w:tcW w:w="7735" w:type="dxa"/>
            <w:shd w:val="clear" w:color="auto" w:fill="EAF1DD" w:themeFill="accent3" w:themeFillTint="33"/>
          </w:tcPr>
          <w:p w14:paraId="137CE24C" w14:textId="20F27425" w:rsidR="0040297E" w:rsidRDefault="00FA6C7E" w:rsidP="0027042A">
            <w:pPr>
              <w:rPr>
                <w:b/>
              </w:rPr>
            </w:pPr>
            <w:r>
              <w:rPr>
                <w:rFonts w:eastAsia="Times New Roman" w:cs="Arial"/>
                <w:b/>
                <w:color w:val="222222"/>
              </w:rPr>
              <w:lastRenderedPageBreak/>
              <w:t>For final grade transmission from a functional viewpoint, there is a solution maintained by UW System. The instructor initiates an export of grades from the LMS grade roster to a server in Madison. Each campus that is using the import feature picks up the file via a secure FTP process. The instructor is notified that their grades have been imported via an email. The instructor opens the class roster in Campus Solutions and clicks an Import Grades button on the grade roster which populates the grades. The Instructor then reviews and corrects any grade errors in the grades in campus solutions, and then approves the grades for posting in Campus Solutions.</w:t>
            </w:r>
          </w:p>
        </w:tc>
      </w:tr>
      <w:tr w:rsidR="003E405E" w:rsidRPr="0095401C" w14:paraId="5AECA83D" w14:textId="77777777" w:rsidTr="007B0929">
        <w:tc>
          <w:tcPr>
            <w:tcW w:w="625" w:type="dxa"/>
          </w:tcPr>
          <w:p w14:paraId="2577FB47" w14:textId="77777777" w:rsidR="003E405E" w:rsidRDefault="003E405E" w:rsidP="0027042A">
            <w:pPr>
              <w:jc w:val="center"/>
            </w:pPr>
            <w:r>
              <w:lastRenderedPageBreak/>
              <w:t>24</w:t>
            </w:r>
          </w:p>
        </w:tc>
        <w:tc>
          <w:tcPr>
            <w:tcW w:w="2430" w:type="dxa"/>
            <w:shd w:val="clear" w:color="auto" w:fill="E5DFEC" w:themeFill="accent4" w:themeFillTint="33"/>
            <w:vAlign w:val="center"/>
          </w:tcPr>
          <w:p w14:paraId="06EF8E24" w14:textId="77777777" w:rsidR="003E405E" w:rsidRDefault="003E405E" w:rsidP="003E405E">
            <w:pPr>
              <w:rPr>
                <w:rFonts w:ascii="Arial" w:hAnsi="Arial" w:cs="Arial"/>
              </w:rPr>
            </w:pPr>
            <w:r>
              <w:rPr>
                <w:rFonts w:ascii="Arial" w:hAnsi="Arial" w:cs="Arial"/>
              </w:rPr>
              <w:t xml:space="preserve">Will instructor be able to access previous year content besides copying </w:t>
            </w:r>
            <w:r w:rsidR="004E050D">
              <w:rPr>
                <w:rFonts w:ascii="Arial" w:hAnsi="Arial" w:cs="Arial"/>
              </w:rPr>
              <w:t>previous</w:t>
            </w:r>
            <w:r>
              <w:rPr>
                <w:rFonts w:ascii="Arial" w:hAnsi="Arial" w:cs="Arial"/>
              </w:rPr>
              <w:t xml:space="preserve"> year content to the next year? If Yes, will it be read only or editable</w:t>
            </w:r>
          </w:p>
          <w:p w14:paraId="2F2CA929" w14:textId="77777777" w:rsidR="003E405E" w:rsidRDefault="003E405E" w:rsidP="0040297E">
            <w:pPr>
              <w:rPr>
                <w:color w:val="000000"/>
              </w:rPr>
            </w:pPr>
          </w:p>
        </w:tc>
        <w:tc>
          <w:tcPr>
            <w:tcW w:w="7735" w:type="dxa"/>
            <w:shd w:val="clear" w:color="auto" w:fill="EAF1DD" w:themeFill="accent3" w:themeFillTint="33"/>
          </w:tcPr>
          <w:p w14:paraId="5F625891" w14:textId="77777777" w:rsidR="003E405E" w:rsidRDefault="006E7413" w:rsidP="0027042A">
            <w:pPr>
              <w:rPr>
                <w:b/>
              </w:rPr>
            </w:pPr>
            <w:r>
              <w:rPr>
                <w:b/>
              </w:rPr>
              <w:t>Please include in your proposal how this will work or what you recommend as a “best practice” using your proposed solution.</w:t>
            </w:r>
          </w:p>
        </w:tc>
      </w:tr>
      <w:tr w:rsidR="003E405E" w:rsidRPr="0095401C" w14:paraId="4EF368FE" w14:textId="77777777" w:rsidTr="007B0929">
        <w:tc>
          <w:tcPr>
            <w:tcW w:w="625" w:type="dxa"/>
          </w:tcPr>
          <w:p w14:paraId="43FF05C6" w14:textId="77777777" w:rsidR="003E405E" w:rsidRDefault="003E405E" w:rsidP="0027042A">
            <w:pPr>
              <w:jc w:val="center"/>
            </w:pPr>
            <w:r>
              <w:t>25</w:t>
            </w:r>
          </w:p>
        </w:tc>
        <w:tc>
          <w:tcPr>
            <w:tcW w:w="2430" w:type="dxa"/>
            <w:shd w:val="clear" w:color="auto" w:fill="E5DFEC" w:themeFill="accent4" w:themeFillTint="33"/>
            <w:vAlign w:val="center"/>
          </w:tcPr>
          <w:p w14:paraId="298D6010" w14:textId="77777777" w:rsidR="003E405E" w:rsidRDefault="003E405E" w:rsidP="003E405E">
            <w:pPr>
              <w:rPr>
                <w:rFonts w:ascii="Arial" w:hAnsi="Arial" w:cs="Arial"/>
              </w:rPr>
            </w:pPr>
            <w:r>
              <w:rPr>
                <w:rFonts w:ascii="Arial" w:hAnsi="Arial" w:cs="Arial"/>
              </w:rPr>
              <w:t xml:space="preserve">Will student be able to access </w:t>
            </w:r>
            <w:r w:rsidRPr="003E405E">
              <w:t>previous</w:t>
            </w:r>
            <w:r>
              <w:rPr>
                <w:rFonts w:ascii="Arial" w:hAnsi="Arial" w:cs="Arial"/>
              </w:rPr>
              <w:t xml:space="preserve"> year content?</w:t>
            </w:r>
          </w:p>
        </w:tc>
        <w:tc>
          <w:tcPr>
            <w:tcW w:w="7735" w:type="dxa"/>
            <w:shd w:val="clear" w:color="auto" w:fill="EAF1DD" w:themeFill="accent3" w:themeFillTint="33"/>
          </w:tcPr>
          <w:p w14:paraId="2FAB0534" w14:textId="77777777" w:rsidR="003E405E" w:rsidRDefault="00C3777E" w:rsidP="0027042A">
            <w:pPr>
              <w:rPr>
                <w:b/>
              </w:rPr>
            </w:pPr>
            <w:r>
              <w:rPr>
                <w:b/>
              </w:rPr>
              <w:t xml:space="preserve">Please include in your proposal how this will work or what you recommend </w:t>
            </w:r>
            <w:r w:rsidR="006E7413">
              <w:rPr>
                <w:b/>
              </w:rPr>
              <w:t>as a “best practice” using</w:t>
            </w:r>
            <w:r>
              <w:rPr>
                <w:b/>
              </w:rPr>
              <w:t xml:space="preserve"> your proposed solution</w:t>
            </w:r>
            <w:r w:rsidR="006E7413">
              <w:rPr>
                <w:b/>
              </w:rPr>
              <w:t>.</w:t>
            </w:r>
          </w:p>
        </w:tc>
      </w:tr>
      <w:tr w:rsidR="00D51788" w:rsidRPr="0095401C" w14:paraId="3F898482" w14:textId="77777777" w:rsidTr="007B0929">
        <w:tc>
          <w:tcPr>
            <w:tcW w:w="625" w:type="dxa"/>
          </w:tcPr>
          <w:p w14:paraId="6B0FAE97" w14:textId="77777777" w:rsidR="00D51788" w:rsidRDefault="00D51788" w:rsidP="0027042A">
            <w:pPr>
              <w:jc w:val="center"/>
            </w:pPr>
            <w:r>
              <w:t>26</w:t>
            </w:r>
          </w:p>
        </w:tc>
        <w:tc>
          <w:tcPr>
            <w:tcW w:w="2430" w:type="dxa"/>
            <w:shd w:val="clear" w:color="auto" w:fill="E5DFEC" w:themeFill="accent4" w:themeFillTint="33"/>
            <w:vAlign w:val="center"/>
          </w:tcPr>
          <w:p w14:paraId="53A9BA49" w14:textId="77777777" w:rsidR="00D51788" w:rsidRDefault="00E56D23" w:rsidP="003E405E">
            <w:pPr>
              <w:rPr>
                <w:rFonts w:ascii="Arial" w:hAnsi="Arial" w:cs="Arial"/>
              </w:rPr>
            </w:pPr>
            <w:r>
              <w:rPr>
                <w:rFonts w:ascii="Arial" w:hAnsi="Arial" w:cs="Arial"/>
              </w:rPr>
              <w:t xml:space="preserve">Who will have access to </w:t>
            </w:r>
            <w:r w:rsidRPr="00E56D23">
              <w:t>create</w:t>
            </w:r>
            <w:r>
              <w:rPr>
                <w:rFonts w:ascii="Arial" w:hAnsi="Arial" w:cs="Arial"/>
              </w:rPr>
              <w:t xml:space="preserve"> groups? Instructor or Admin or both?</w:t>
            </w:r>
          </w:p>
        </w:tc>
        <w:tc>
          <w:tcPr>
            <w:tcW w:w="7735" w:type="dxa"/>
            <w:shd w:val="clear" w:color="auto" w:fill="EAF1DD" w:themeFill="accent3" w:themeFillTint="33"/>
          </w:tcPr>
          <w:p w14:paraId="315C5DDC" w14:textId="77777777" w:rsidR="00D51788" w:rsidRDefault="006E7413" w:rsidP="0027042A">
            <w:pPr>
              <w:rPr>
                <w:b/>
              </w:rPr>
            </w:pPr>
            <w:r>
              <w:rPr>
                <w:b/>
              </w:rPr>
              <w:t>Both</w:t>
            </w:r>
          </w:p>
        </w:tc>
      </w:tr>
      <w:tr w:rsidR="00D51788" w:rsidRPr="0095401C" w14:paraId="2E36404F" w14:textId="77777777" w:rsidTr="007B0929">
        <w:tc>
          <w:tcPr>
            <w:tcW w:w="625" w:type="dxa"/>
          </w:tcPr>
          <w:p w14:paraId="19AD42ED" w14:textId="77777777" w:rsidR="00D51788" w:rsidRDefault="00E56D23" w:rsidP="0027042A">
            <w:pPr>
              <w:jc w:val="center"/>
            </w:pPr>
            <w:r>
              <w:t>27</w:t>
            </w:r>
          </w:p>
        </w:tc>
        <w:tc>
          <w:tcPr>
            <w:tcW w:w="2430" w:type="dxa"/>
            <w:shd w:val="clear" w:color="auto" w:fill="E5DFEC" w:themeFill="accent4" w:themeFillTint="33"/>
            <w:vAlign w:val="center"/>
          </w:tcPr>
          <w:p w14:paraId="26ED2D74" w14:textId="77777777" w:rsidR="00D51788" w:rsidRDefault="00E56D23" w:rsidP="003E405E">
            <w:pPr>
              <w:rPr>
                <w:rFonts w:ascii="Arial" w:hAnsi="Arial" w:cs="Arial"/>
              </w:rPr>
            </w:pPr>
            <w:r w:rsidRPr="00E56D23">
              <w:rPr>
                <w:rFonts w:ascii="Arial" w:hAnsi="Arial" w:cs="Arial"/>
              </w:rPr>
              <w:t>Will instructor have access of reports</w:t>
            </w:r>
            <w:r>
              <w:rPr>
                <w:rFonts w:ascii="Arial" w:hAnsi="Arial" w:cs="Arial"/>
              </w:rPr>
              <w:t>?</w:t>
            </w:r>
          </w:p>
        </w:tc>
        <w:tc>
          <w:tcPr>
            <w:tcW w:w="7735" w:type="dxa"/>
            <w:shd w:val="clear" w:color="auto" w:fill="EAF1DD" w:themeFill="accent3" w:themeFillTint="33"/>
          </w:tcPr>
          <w:p w14:paraId="73F58D2F" w14:textId="77777777" w:rsidR="00D51788" w:rsidRDefault="006E7413" w:rsidP="0027042A">
            <w:pPr>
              <w:rPr>
                <w:b/>
              </w:rPr>
            </w:pPr>
            <w:r>
              <w:rPr>
                <w:b/>
              </w:rPr>
              <w:t>Please include in your proposal how this will work or what you recommend as a “best practice” using your proposed solution.</w:t>
            </w:r>
          </w:p>
        </w:tc>
      </w:tr>
      <w:tr w:rsidR="00E56D23" w:rsidRPr="0095401C" w14:paraId="2BCC6741" w14:textId="77777777" w:rsidTr="007B0929">
        <w:tc>
          <w:tcPr>
            <w:tcW w:w="625" w:type="dxa"/>
          </w:tcPr>
          <w:p w14:paraId="724DD077" w14:textId="77777777" w:rsidR="00E56D23" w:rsidRDefault="00E56D23" w:rsidP="0027042A">
            <w:pPr>
              <w:jc w:val="center"/>
            </w:pPr>
            <w:r>
              <w:t>28</w:t>
            </w:r>
          </w:p>
        </w:tc>
        <w:tc>
          <w:tcPr>
            <w:tcW w:w="2430" w:type="dxa"/>
            <w:shd w:val="clear" w:color="auto" w:fill="E5DFEC" w:themeFill="accent4" w:themeFillTint="33"/>
            <w:vAlign w:val="center"/>
          </w:tcPr>
          <w:p w14:paraId="2E436728" w14:textId="77777777" w:rsidR="00E56D23" w:rsidRPr="00E56D23" w:rsidRDefault="00E56D23" w:rsidP="003E405E">
            <w:pPr>
              <w:rPr>
                <w:rFonts w:ascii="Arial" w:hAnsi="Arial" w:cs="Arial"/>
              </w:rPr>
            </w:pPr>
            <w:r w:rsidRPr="00E56D23">
              <w:rPr>
                <w:rFonts w:ascii="Arial" w:hAnsi="Arial" w:cs="Arial"/>
              </w:rPr>
              <w:t>Will student be allowed to post any content on group? Or there will be an approval process where content will be first checked by the instructor and then it will go on wall</w:t>
            </w:r>
          </w:p>
        </w:tc>
        <w:tc>
          <w:tcPr>
            <w:tcW w:w="7735" w:type="dxa"/>
            <w:shd w:val="clear" w:color="auto" w:fill="EAF1DD" w:themeFill="accent3" w:themeFillTint="33"/>
          </w:tcPr>
          <w:p w14:paraId="6AD9422B" w14:textId="77777777" w:rsidR="00E56D23" w:rsidRDefault="006E7413" w:rsidP="0027042A">
            <w:pPr>
              <w:rPr>
                <w:b/>
              </w:rPr>
            </w:pPr>
            <w:r>
              <w:rPr>
                <w:b/>
              </w:rPr>
              <w:t>Please include in your proposal how these will work or what you recommend as “best practices” using your proposed solution.</w:t>
            </w:r>
          </w:p>
        </w:tc>
      </w:tr>
      <w:tr w:rsidR="006E7413" w:rsidRPr="0095401C" w14:paraId="3FBF89EE" w14:textId="77777777" w:rsidTr="007B0929">
        <w:tc>
          <w:tcPr>
            <w:tcW w:w="625" w:type="dxa"/>
          </w:tcPr>
          <w:p w14:paraId="5BA1F75D" w14:textId="77777777" w:rsidR="006E7413" w:rsidRDefault="006E7413" w:rsidP="006E7413">
            <w:pPr>
              <w:jc w:val="center"/>
            </w:pPr>
            <w:r>
              <w:lastRenderedPageBreak/>
              <w:t>29</w:t>
            </w:r>
          </w:p>
        </w:tc>
        <w:tc>
          <w:tcPr>
            <w:tcW w:w="2430" w:type="dxa"/>
            <w:shd w:val="clear" w:color="auto" w:fill="E5DFEC" w:themeFill="accent4" w:themeFillTint="33"/>
            <w:vAlign w:val="center"/>
          </w:tcPr>
          <w:p w14:paraId="6F9B80F3" w14:textId="77777777" w:rsidR="006E7413" w:rsidRPr="00E56D23" w:rsidRDefault="006E7413" w:rsidP="006E7413">
            <w:pPr>
              <w:rPr>
                <w:rFonts w:ascii="Arial" w:hAnsi="Arial" w:cs="Arial"/>
              </w:rPr>
            </w:pPr>
            <w:r w:rsidRPr="00590725">
              <w:rPr>
                <w:rFonts w:ascii="Arial" w:hAnsi="Arial" w:cs="Arial"/>
              </w:rPr>
              <w:t>Will there be a third party tool for content? or will it be crea</w:t>
            </w:r>
            <w:r>
              <w:rPr>
                <w:rFonts w:ascii="Arial" w:hAnsi="Arial" w:cs="Arial"/>
              </w:rPr>
              <w:t>ted manually by the administrato</w:t>
            </w:r>
            <w:r w:rsidRPr="00590725">
              <w:rPr>
                <w:rFonts w:ascii="Arial" w:hAnsi="Arial" w:cs="Arial"/>
              </w:rPr>
              <w:t>r or Instructor</w:t>
            </w:r>
            <w:r>
              <w:rPr>
                <w:rFonts w:ascii="Arial" w:hAnsi="Arial" w:cs="Arial"/>
              </w:rPr>
              <w:t>?</w:t>
            </w:r>
          </w:p>
        </w:tc>
        <w:tc>
          <w:tcPr>
            <w:tcW w:w="7735" w:type="dxa"/>
            <w:shd w:val="clear" w:color="auto" w:fill="EAF1DD" w:themeFill="accent3" w:themeFillTint="33"/>
          </w:tcPr>
          <w:p w14:paraId="3BAEE622" w14:textId="77777777" w:rsidR="006E7413" w:rsidRDefault="006E7413" w:rsidP="006E7413">
            <w:pPr>
              <w:rPr>
                <w:b/>
              </w:rPr>
            </w:pPr>
            <w:r>
              <w:rPr>
                <w:b/>
              </w:rPr>
              <w:t>Please include in your proposal how these will work or what you recommend as “best practices” using your proposed solution.</w:t>
            </w:r>
          </w:p>
        </w:tc>
      </w:tr>
      <w:tr w:rsidR="00590725" w:rsidRPr="0095401C" w14:paraId="4C8D0BAC" w14:textId="77777777" w:rsidTr="007B0929">
        <w:tc>
          <w:tcPr>
            <w:tcW w:w="625" w:type="dxa"/>
          </w:tcPr>
          <w:p w14:paraId="321B58A9" w14:textId="77777777" w:rsidR="00590725" w:rsidRDefault="00590725" w:rsidP="0027042A">
            <w:pPr>
              <w:jc w:val="center"/>
            </w:pPr>
            <w:r>
              <w:t>30</w:t>
            </w:r>
          </w:p>
        </w:tc>
        <w:tc>
          <w:tcPr>
            <w:tcW w:w="2430" w:type="dxa"/>
            <w:shd w:val="clear" w:color="auto" w:fill="E5DFEC" w:themeFill="accent4" w:themeFillTint="33"/>
            <w:vAlign w:val="center"/>
          </w:tcPr>
          <w:p w14:paraId="5E252622" w14:textId="77777777" w:rsidR="00590725" w:rsidRPr="00590725" w:rsidRDefault="00590725" w:rsidP="003E405E">
            <w:pPr>
              <w:rPr>
                <w:rFonts w:ascii="Arial" w:hAnsi="Arial" w:cs="Arial"/>
              </w:rPr>
            </w:pPr>
            <w:r w:rsidRPr="00590725">
              <w:rPr>
                <w:rFonts w:ascii="Arial" w:hAnsi="Arial" w:cs="Arial"/>
              </w:rPr>
              <w:t>Please elaborate scenario #8. Administrative Needs for Data Generated in the Learning Environment</w:t>
            </w:r>
          </w:p>
        </w:tc>
        <w:tc>
          <w:tcPr>
            <w:tcW w:w="7735" w:type="dxa"/>
            <w:shd w:val="clear" w:color="auto" w:fill="EAF1DD" w:themeFill="accent3" w:themeFillTint="33"/>
          </w:tcPr>
          <w:p w14:paraId="5234BEEB" w14:textId="77777777" w:rsidR="00590725" w:rsidRDefault="00C3777E" w:rsidP="0027042A">
            <w:pPr>
              <w:rPr>
                <w:b/>
              </w:rPr>
            </w:pPr>
            <w:r>
              <w:rPr>
                <w:b/>
              </w:rPr>
              <w:t>We believe scenario #8 is clear as stated.</w:t>
            </w:r>
          </w:p>
        </w:tc>
      </w:tr>
      <w:tr w:rsidR="00590725" w:rsidRPr="0095401C" w14:paraId="78D96CF5" w14:textId="77777777" w:rsidTr="007B0929">
        <w:tc>
          <w:tcPr>
            <w:tcW w:w="625" w:type="dxa"/>
          </w:tcPr>
          <w:p w14:paraId="5A059834" w14:textId="77777777" w:rsidR="00590725" w:rsidRDefault="00590725" w:rsidP="0027042A">
            <w:pPr>
              <w:jc w:val="center"/>
            </w:pPr>
            <w:r>
              <w:t>31</w:t>
            </w:r>
          </w:p>
        </w:tc>
        <w:tc>
          <w:tcPr>
            <w:tcW w:w="2430" w:type="dxa"/>
            <w:shd w:val="clear" w:color="auto" w:fill="E5DFEC" w:themeFill="accent4" w:themeFillTint="33"/>
            <w:vAlign w:val="center"/>
          </w:tcPr>
          <w:p w14:paraId="23ACF11D" w14:textId="77777777" w:rsidR="00590725" w:rsidRPr="00590725" w:rsidRDefault="00590725" w:rsidP="003E405E">
            <w:pPr>
              <w:rPr>
                <w:rFonts w:ascii="Arial" w:hAnsi="Arial" w:cs="Arial"/>
              </w:rPr>
            </w:pPr>
            <w:r w:rsidRPr="00590725">
              <w:rPr>
                <w:rFonts w:ascii="Arial" w:hAnsi="Arial" w:cs="Arial"/>
              </w:rPr>
              <w:t>Need to know the existing third party tools that are used by the university which will be integrated with</w:t>
            </w:r>
            <w:r>
              <w:rPr>
                <w:rFonts w:ascii="Arial" w:hAnsi="Arial" w:cs="Arial"/>
              </w:rPr>
              <w:t xml:space="preserve"> the software</w:t>
            </w:r>
          </w:p>
        </w:tc>
        <w:tc>
          <w:tcPr>
            <w:tcW w:w="7735" w:type="dxa"/>
            <w:shd w:val="clear" w:color="auto" w:fill="EAF1DD" w:themeFill="accent3" w:themeFillTint="33"/>
          </w:tcPr>
          <w:p w14:paraId="3CAAA06E" w14:textId="683FD9AC" w:rsidR="00590725" w:rsidRDefault="002A5D7F" w:rsidP="0027042A">
            <w:pPr>
              <w:rPr>
                <w:b/>
              </w:rPr>
            </w:pPr>
            <w:r>
              <w:rPr>
                <w:b/>
              </w:rPr>
              <w:t>S</w:t>
            </w:r>
            <w:r w:rsidR="00C3777E">
              <w:rPr>
                <w:b/>
              </w:rPr>
              <w:t>ee #32</w:t>
            </w:r>
            <w:r>
              <w:rPr>
                <w:b/>
              </w:rPr>
              <w:t xml:space="preserve"> below.</w:t>
            </w:r>
          </w:p>
        </w:tc>
      </w:tr>
      <w:tr w:rsidR="00E71962" w:rsidRPr="0095401C" w14:paraId="123FB086" w14:textId="77777777" w:rsidTr="007B0929">
        <w:tc>
          <w:tcPr>
            <w:tcW w:w="625" w:type="dxa"/>
            <w:shd w:val="clear" w:color="auto" w:fill="auto"/>
          </w:tcPr>
          <w:p w14:paraId="4835DA68" w14:textId="77777777" w:rsidR="00E71962" w:rsidRDefault="00E71962" w:rsidP="0027042A">
            <w:pPr>
              <w:jc w:val="center"/>
            </w:pPr>
            <w:r>
              <w:t>32</w:t>
            </w:r>
          </w:p>
        </w:tc>
        <w:tc>
          <w:tcPr>
            <w:tcW w:w="2430" w:type="dxa"/>
            <w:shd w:val="clear" w:color="auto" w:fill="E5DFEC" w:themeFill="accent4" w:themeFillTint="33"/>
            <w:vAlign w:val="center"/>
          </w:tcPr>
          <w:p w14:paraId="550894BB" w14:textId="77777777" w:rsidR="00E71962" w:rsidRPr="00590725" w:rsidRDefault="00E71962" w:rsidP="003E405E">
            <w:pPr>
              <w:rPr>
                <w:rFonts w:ascii="Arial" w:hAnsi="Arial" w:cs="Arial"/>
              </w:rPr>
            </w:pPr>
            <w:r w:rsidRPr="00E71962">
              <w:rPr>
                <w:rFonts w:ascii="Arial" w:hAnsi="Arial" w:cs="Arial"/>
              </w:rPr>
              <w:t>Does scope covers all these integrations with the LMS (5.2.9.4.)</w:t>
            </w:r>
            <w:r w:rsidRPr="00E71962">
              <w:rPr>
                <w:rFonts w:ascii="Arial" w:hAnsi="Arial" w:cs="Arial"/>
              </w:rPr>
              <w:br/>
            </w:r>
            <w:r w:rsidRPr="00E71962">
              <w:rPr>
                <w:rFonts w:ascii="Arial" w:hAnsi="Arial" w:cs="Arial"/>
              </w:rPr>
              <w:br/>
              <w:t>- Remote proctoring solutions (</w:t>
            </w:r>
            <w:proofErr w:type="spellStart"/>
            <w:r w:rsidRPr="00E71962">
              <w:rPr>
                <w:rFonts w:ascii="Arial" w:hAnsi="Arial" w:cs="Arial"/>
              </w:rPr>
              <w:t>Examity</w:t>
            </w:r>
            <w:proofErr w:type="spellEnd"/>
            <w:r w:rsidRPr="00E71962">
              <w:rPr>
                <w:rFonts w:ascii="Arial" w:hAnsi="Arial" w:cs="Arial"/>
              </w:rPr>
              <w:t>, etc.)</w:t>
            </w:r>
            <w:r w:rsidRPr="00E71962">
              <w:rPr>
                <w:rFonts w:ascii="Arial" w:hAnsi="Arial" w:cs="Arial"/>
              </w:rPr>
              <w:br/>
              <w:t>- Textbook publishers (Pearson, Macmillan, McGraw-Hill, Cengage)</w:t>
            </w:r>
            <w:r w:rsidRPr="00E71962">
              <w:rPr>
                <w:rFonts w:ascii="Arial" w:hAnsi="Arial" w:cs="Arial"/>
              </w:rPr>
              <w:br/>
              <w:t>- Content Authoring (</w:t>
            </w:r>
            <w:proofErr w:type="spellStart"/>
            <w:r w:rsidRPr="00E71962">
              <w:rPr>
                <w:rFonts w:ascii="Arial" w:hAnsi="Arial" w:cs="Arial"/>
              </w:rPr>
              <w:t>SoftChalk</w:t>
            </w:r>
            <w:proofErr w:type="spellEnd"/>
            <w:r w:rsidRPr="00E71962">
              <w:rPr>
                <w:rFonts w:ascii="Arial" w:hAnsi="Arial" w:cs="Arial"/>
              </w:rPr>
              <w:t>)</w:t>
            </w:r>
            <w:r w:rsidRPr="00E71962">
              <w:rPr>
                <w:rFonts w:ascii="Arial" w:hAnsi="Arial" w:cs="Arial"/>
              </w:rPr>
              <w:br/>
              <w:t>- Test Generators (</w:t>
            </w:r>
            <w:proofErr w:type="spellStart"/>
            <w:r w:rsidRPr="00E71962">
              <w:rPr>
                <w:rFonts w:ascii="Arial" w:hAnsi="Arial" w:cs="Arial"/>
              </w:rPr>
              <w:t>Respondus</w:t>
            </w:r>
            <w:proofErr w:type="spellEnd"/>
            <w:r w:rsidRPr="00E71962">
              <w:rPr>
                <w:rFonts w:ascii="Arial" w:hAnsi="Arial" w:cs="Arial"/>
              </w:rPr>
              <w:t>)</w:t>
            </w:r>
            <w:r w:rsidRPr="00E71962">
              <w:rPr>
                <w:rFonts w:ascii="Arial" w:hAnsi="Arial" w:cs="Arial"/>
              </w:rPr>
              <w:br/>
              <w:t>- Media management solution (Kaltura)</w:t>
            </w:r>
            <w:r w:rsidRPr="00E71962">
              <w:rPr>
                <w:rFonts w:ascii="Arial" w:hAnsi="Arial" w:cs="Arial"/>
              </w:rPr>
              <w:br/>
              <w:t>- Plagiarism detection solution (Turnitin)</w:t>
            </w:r>
            <w:r w:rsidRPr="00E71962">
              <w:rPr>
                <w:rFonts w:ascii="Arial" w:hAnsi="Arial" w:cs="Arial"/>
              </w:rPr>
              <w:br/>
              <w:t>- Audience Response Systems (</w:t>
            </w:r>
            <w:proofErr w:type="spellStart"/>
            <w:r w:rsidRPr="00E71962">
              <w:rPr>
                <w:rFonts w:ascii="Arial" w:hAnsi="Arial" w:cs="Arial"/>
              </w:rPr>
              <w:t>iClickers</w:t>
            </w:r>
            <w:proofErr w:type="spellEnd"/>
            <w:r w:rsidRPr="00E71962">
              <w:rPr>
                <w:rFonts w:ascii="Arial" w:hAnsi="Arial" w:cs="Arial"/>
              </w:rPr>
              <w:t>, Turning Technologies)</w:t>
            </w:r>
          </w:p>
        </w:tc>
        <w:tc>
          <w:tcPr>
            <w:tcW w:w="7735" w:type="dxa"/>
            <w:shd w:val="clear" w:color="auto" w:fill="EAF1DD" w:themeFill="accent3" w:themeFillTint="33"/>
          </w:tcPr>
          <w:p w14:paraId="453EB8AD" w14:textId="0E181987" w:rsidR="00E71962" w:rsidRDefault="00B17ACF" w:rsidP="0027042A">
            <w:pPr>
              <w:rPr>
                <w:b/>
              </w:rPr>
            </w:pPr>
            <w:r>
              <w:rPr>
                <w:b/>
              </w:rPr>
              <w:t xml:space="preserve">UWS seeks a learning environment that is flexible and will accommodate these integrations as well as future third-party integrations that are not yet known.  </w:t>
            </w:r>
            <w:r w:rsidR="005A7CB5">
              <w:rPr>
                <w:b/>
              </w:rPr>
              <w:t>V</w:t>
            </w:r>
            <w:r>
              <w:rPr>
                <w:b/>
              </w:rPr>
              <w:t>endor</w:t>
            </w:r>
            <w:r w:rsidR="005A7CB5">
              <w:rPr>
                <w:b/>
              </w:rPr>
              <w:t xml:space="preserve"> should detail their plans/roadmap for accommodating</w:t>
            </w:r>
            <w:r>
              <w:rPr>
                <w:b/>
              </w:rPr>
              <w:t xml:space="preserve"> new to market third-party tools that require integratio</w:t>
            </w:r>
            <w:r w:rsidR="002A5D7F">
              <w:rPr>
                <w:b/>
              </w:rPr>
              <w:t>n with the learning environment.</w:t>
            </w:r>
          </w:p>
        </w:tc>
      </w:tr>
    </w:tbl>
    <w:p w14:paraId="3063B8D5" w14:textId="77777777" w:rsidR="005A1551" w:rsidRPr="005A1551" w:rsidRDefault="005A1551" w:rsidP="005A1551"/>
    <w:sectPr w:rsidR="005A1551" w:rsidRPr="005A1551" w:rsidSect="00A749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F33A4"/>
    <w:multiLevelType w:val="hybridMultilevel"/>
    <w:tmpl w:val="5BA64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8C26AB"/>
    <w:multiLevelType w:val="multilevel"/>
    <w:tmpl w:val="2F08BD3E"/>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2">
    <w:nsid w:val="0FAC7121"/>
    <w:multiLevelType w:val="hybridMultilevel"/>
    <w:tmpl w:val="A30E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D0AA4"/>
    <w:multiLevelType w:val="hybridMultilevel"/>
    <w:tmpl w:val="5BA64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8405156"/>
    <w:multiLevelType w:val="multilevel"/>
    <w:tmpl w:val="4AC84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CC250F4"/>
    <w:multiLevelType w:val="hybridMultilevel"/>
    <w:tmpl w:val="BB460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7D3094"/>
    <w:multiLevelType w:val="hybridMultilevel"/>
    <w:tmpl w:val="95E4DB5A"/>
    <w:lvl w:ilvl="0" w:tplc="6570F9B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233CF"/>
    <w:multiLevelType w:val="multilevel"/>
    <w:tmpl w:val="860CD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42E5EBD"/>
    <w:multiLevelType w:val="multilevel"/>
    <w:tmpl w:val="78C48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CB87569"/>
    <w:multiLevelType w:val="hybridMultilevel"/>
    <w:tmpl w:val="F6C6D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336F57"/>
    <w:multiLevelType w:val="multilevel"/>
    <w:tmpl w:val="562A0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2970B27"/>
    <w:multiLevelType w:val="hybridMultilevel"/>
    <w:tmpl w:val="5BA64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75C55853"/>
    <w:multiLevelType w:val="hybridMultilevel"/>
    <w:tmpl w:val="30B02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1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51"/>
    <w:rsid w:val="000204EA"/>
    <w:rsid w:val="000260A0"/>
    <w:rsid w:val="00092605"/>
    <w:rsid w:val="000A423B"/>
    <w:rsid w:val="000B4B27"/>
    <w:rsid w:val="000C6A5A"/>
    <w:rsid w:val="001B0B88"/>
    <w:rsid w:val="001C386D"/>
    <w:rsid w:val="001C750D"/>
    <w:rsid w:val="001F4CEF"/>
    <w:rsid w:val="002052A6"/>
    <w:rsid w:val="00220B80"/>
    <w:rsid w:val="002430D0"/>
    <w:rsid w:val="00246F51"/>
    <w:rsid w:val="0027042A"/>
    <w:rsid w:val="002826AE"/>
    <w:rsid w:val="00283884"/>
    <w:rsid w:val="002A5D7F"/>
    <w:rsid w:val="002D6F22"/>
    <w:rsid w:val="003040D7"/>
    <w:rsid w:val="00331B94"/>
    <w:rsid w:val="00355546"/>
    <w:rsid w:val="003A117C"/>
    <w:rsid w:val="003A3E12"/>
    <w:rsid w:val="003E405E"/>
    <w:rsid w:val="0040297E"/>
    <w:rsid w:val="00426C3B"/>
    <w:rsid w:val="00434059"/>
    <w:rsid w:val="0048007C"/>
    <w:rsid w:val="004B1A3B"/>
    <w:rsid w:val="004B2A22"/>
    <w:rsid w:val="004D5CF2"/>
    <w:rsid w:val="004E050D"/>
    <w:rsid w:val="004F7EA2"/>
    <w:rsid w:val="00501E31"/>
    <w:rsid w:val="00526233"/>
    <w:rsid w:val="00530E5E"/>
    <w:rsid w:val="0053486D"/>
    <w:rsid w:val="00543FFB"/>
    <w:rsid w:val="00587E67"/>
    <w:rsid w:val="00590725"/>
    <w:rsid w:val="00590FB2"/>
    <w:rsid w:val="005A1551"/>
    <w:rsid w:val="005A7CB5"/>
    <w:rsid w:val="005E6CE6"/>
    <w:rsid w:val="005F26DC"/>
    <w:rsid w:val="0064276D"/>
    <w:rsid w:val="00645AE4"/>
    <w:rsid w:val="006D568C"/>
    <w:rsid w:val="006E7413"/>
    <w:rsid w:val="006E7639"/>
    <w:rsid w:val="00716C04"/>
    <w:rsid w:val="00765B1F"/>
    <w:rsid w:val="00782DB0"/>
    <w:rsid w:val="00795321"/>
    <w:rsid w:val="007A76F2"/>
    <w:rsid w:val="007B0929"/>
    <w:rsid w:val="008156FC"/>
    <w:rsid w:val="008635AD"/>
    <w:rsid w:val="008A2CE4"/>
    <w:rsid w:val="008D2135"/>
    <w:rsid w:val="00936087"/>
    <w:rsid w:val="009509D5"/>
    <w:rsid w:val="0095401C"/>
    <w:rsid w:val="009B1FD3"/>
    <w:rsid w:val="009D6B3B"/>
    <w:rsid w:val="00A02BD6"/>
    <w:rsid w:val="00A13784"/>
    <w:rsid w:val="00A14089"/>
    <w:rsid w:val="00A22827"/>
    <w:rsid w:val="00A454EC"/>
    <w:rsid w:val="00A55BFC"/>
    <w:rsid w:val="00A7492E"/>
    <w:rsid w:val="00AF339B"/>
    <w:rsid w:val="00B17ACF"/>
    <w:rsid w:val="00B3060D"/>
    <w:rsid w:val="00B346AD"/>
    <w:rsid w:val="00B738B3"/>
    <w:rsid w:val="00BC4178"/>
    <w:rsid w:val="00C3777E"/>
    <w:rsid w:val="00C65AB2"/>
    <w:rsid w:val="00C82B96"/>
    <w:rsid w:val="00CA35AA"/>
    <w:rsid w:val="00CC08BB"/>
    <w:rsid w:val="00CF0EC3"/>
    <w:rsid w:val="00D51788"/>
    <w:rsid w:val="00D729A5"/>
    <w:rsid w:val="00DA64B5"/>
    <w:rsid w:val="00DF2236"/>
    <w:rsid w:val="00DF743B"/>
    <w:rsid w:val="00E36FD0"/>
    <w:rsid w:val="00E56D23"/>
    <w:rsid w:val="00E71962"/>
    <w:rsid w:val="00EB1B81"/>
    <w:rsid w:val="00ED7FEE"/>
    <w:rsid w:val="00EE570D"/>
    <w:rsid w:val="00EF32D9"/>
    <w:rsid w:val="00F114EB"/>
    <w:rsid w:val="00F12E30"/>
    <w:rsid w:val="00F54DEA"/>
    <w:rsid w:val="00F73504"/>
    <w:rsid w:val="00F85C8E"/>
    <w:rsid w:val="00FA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160B"/>
  <w15:docId w15:val="{D8EB3E06-7C5D-44C9-86B1-8DDCC0C0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15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15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5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155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A15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155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5A15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155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A1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386D"/>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D568C"/>
    <w:pPr>
      <w:spacing w:after="0" w:line="240" w:lineRule="auto"/>
      <w:ind w:left="720"/>
    </w:pPr>
    <w:rPr>
      <w:rFonts w:ascii="Times New Roman" w:eastAsia="Calibri" w:hAnsi="Times New Roman" w:cs="Times New Roman"/>
      <w:sz w:val="24"/>
      <w:szCs w:val="24"/>
    </w:rPr>
  </w:style>
  <w:style w:type="character" w:styleId="Hyperlink">
    <w:name w:val="Hyperlink"/>
    <w:basedOn w:val="DefaultParagraphFont"/>
    <w:uiPriority w:val="99"/>
    <w:unhideWhenUsed/>
    <w:rsid w:val="009509D5"/>
    <w:rPr>
      <w:color w:val="0000FF" w:themeColor="hyperlink"/>
      <w:u w:val="single"/>
    </w:rPr>
  </w:style>
  <w:style w:type="character" w:styleId="FollowedHyperlink">
    <w:name w:val="FollowedHyperlink"/>
    <w:basedOn w:val="DefaultParagraphFont"/>
    <w:uiPriority w:val="99"/>
    <w:semiHidden/>
    <w:unhideWhenUsed/>
    <w:rsid w:val="000204EA"/>
    <w:rPr>
      <w:color w:val="800080" w:themeColor="followedHyperlink"/>
      <w:u w:val="single"/>
    </w:rPr>
  </w:style>
  <w:style w:type="paragraph" w:customStyle="1" w:styleId="Normal1">
    <w:name w:val="Normal1"/>
    <w:rsid w:val="0027042A"/>
    <w:pPr>
      <w:widowControl w:val="0"/>
      <w:spacing w:after="0" w:line="312" w:lineRule="auto"/>
    </w:pPr>
    <w:rPr>
      <w:rFonts w:ascii="Verdana" w:eastAsia="Verdana" w:hAnsi="Verdana" w:cs="Verdana"/>
      <w:color w:val="5555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5507">
      <w:bodyDiv w:val="1"/>
      <w:marLeft w:val="0"/>
      <w:marRight w:val="0"/>
      <w:marTop w:val="0"/>
      <w:marBottom w:val="0"/>
      <w:divBdr>
        <w:top w:val="none" w:sz="0" w:space="0" w:color="auto"/>
        <w:left w:val="none" w:sz="0" w:space="0" w:color="auto"/>
        <w:bottom w:val="none" w:sz="0" w:space="0" w:color="auto"/>
        <w:right w:val="none" w:sz="0" w:space="0" w:color="auto"/>
      </w:divBdr>
    </w:div>
    <w:div w:id="110589670">
      <w:bodyDiv w:val="1"/>
      <w:marLeft w:val="0"/>
      <w:marRight w:val="0"/>
      <w:marTop w:val="0"/>
      <w:marBottom w:val="0"/>
      <w:divBdr>
        <w:top w:val="none" w:sz="0" w:space="0" w:color="auto"/>
        <w:left w:val="none" w:sz="0" w:space="0" w:color="auto"/>
        <w:bottom w:val="none" w:sz="0" w:space="0" w:color="auto"/>
        <w:right w:val="none" w:sz="0" w:space="0" w:color="auto"/>
      </w:divBdr>
    </w:div>
    <w:div w:id="119543852">
      <w:bodyDiv w:val="1"/>
      <w:marLeft w:val="0"/>
      <w:marRight w:val="0"/>
      <w:marTop w:val="0"/>
      <w:marBottom w:val="0"/>
      <w:divBdr>
        <w:top w:val="none" w:sz="0" w:space="0" w:color="auto"/>
        <w:left w:val="none" w:sz="0" w:space="0" w:color="auto"/>
        <w:bottom w:val="none" w:sz="0" w:space="0" w:color="auto"/>
        <w:right w:val="none" w:sz="0" w:space="0" w:color="auto"/>
      </w:divBdr>
    </w:div>
    <w:div w:id="282855097">
      <w:bodyDiv w:val="1"/>
      <w:marLeft w:val="0"/>
      <w:marRight w:val="0"/>
      <w:marTop w:val="0"/>
      <w:marBottom w:val="0"/>
      <w:divBdr>
        <w:top w:val="none" w:sz="0" w:space="0" w:color="auto"/>
        <w:left w:val="none" w:sz="0" w:space="0" w:color="auto"/>
        <w:bottom w:val="none" w:sz="0" w:space="0" w:color="auto"/>
        <w:right w:val="none" w:sz="0" w:space="0" w:color="auto"/>
      </w:divBdr>
    </w:div>
    <w:div w:id="312174107">
      <w:bodyDiv w:val="1"/>
      <w:marLeft w:val="0"/>
      <w:marRight w:val="0"/>
      <w:marTop w:val="0"/>
      <w:marBottom w:val="0"/>
      <w:divBdr>
        <w:top w:val="none" w:sz="0" w:space="0" w:color="auto"/>
        <w:left w:val="none" w:sz="0" w:space="0" w:color="auto"/>
        <w:bottom w:val="none" w:sz="0" w:space="0" w:color="auto"/>
        <w:right w:val="none" w:sz="0" w:space="0" w:color="auto"/>
      </w:divBdr>
    </w:div>
    <w:div w:id="357200217">
      <w:bodyDiv w:val="1"/>
      <w:marLeft w:val="0"/>
      <w:marRight w:val="0"/>
      <w:marTop w:val="0"/>
      <w:marBottom w:val="0"/>
      <w:divBdr>
        <w:top w:val="none" w:sz="0" w:space="0" w:color="auto"/>
        <w:left w:val="none" w:sz="0" w:space="0" w:color="auto"/>
        <w:bottom w:val="none" w:sz="0" w:space="0" w:color="auto"/>
        <w:right w:val="none" w:sz="0" w:space="0" w:color="auto"/>
      </w:divBdr>
    </w:div>
    <w:div w:id="369300548">
      <w:bodyDiv w:val="1"/>
      <w:marLeft w:val="0"/>
      <w:marRight w:val="0"/>
      <w:marTop w:val="0"/>
      <w:marBottom w:val="0"/>
      <w:divBdr>
        <w:top w:val="none" w:sz="0" w:space="0" w:color="auto"/>
        <w:left w:val="none" w:sz="0" w:space="0" w:color="auto"/>
        <w:bottom w:val="none" w:sz="0" w:space="0" w:color="auto"/>
        <w:right w:val="none" w:sz="0" w:space="0" w:color="auto"/>
      </w:divBdr>
    </w:div>
    <w:div w:id="413866692">
      <w:bodyDiv w:val="1"/>
      <w:marLeft w:val="0"/>
      <w:marRight w:val="0"/>
      <w:marTop w:val="0"/>
      <w:marBottom w:val="0"/>
      <w:divBdr>
        <w:top w:val="none" w:sz="0" w:space="0" w:color="auto"/>
        <w:left w:val="none" w:sz="0" w:space="0" w:color="auto"/>
        <w:bottom w:val="none" w:sz="0" w:space="0" w:color="auto"/>
        <w:right w:val="none" w:sz="0" w:space="0" w:color="auto"/>
      </w:divBdr>
    </w:div>
    <w:div w:id="444006843">
      <w:bodyDiv w:val="1"/>
      <w:marLeft w:val="0"/>
      <w:marRight w:val="0"/>
      <w:marTop w:val="0"/>
      <w:marBottom w:val="0"/>
      <w:divBdr>
        <w:top w:val="none" w:sz="0" w:space="0" w:color="auto"/>
        <w:left w:val="none" w:sz="0" w:space="0" w:color="auto"/>
        <w:bottom w:val="none" w:sz="0" w:space="0" w:color="auto"/>
        <w:right w:val="none" w:sz="0" w:space="0" w:color="auto"/>
      </w:divBdr>
    </w:div>
    <w:div w:id="472211137">
      <w:bodyDiv w:val="1"/>
      <w:marLeft w:val="0"/>
      <w:marRight w:val="0"/>
      <w:marTop w:val="0"/>
      <w:marBottom w:val="0"/>
      <w:divBdr>
        <w:top w:val="none" w:sz="0" w:space="0" w:color="auto"/>
        <w:left w:val="none" w:sz="0" w:space="0" w:color="auto"/>
        <w:bottom w:val="none" w:sz="0" w:space="0" w:color="auto"/>
        <w:right w:val="none" w:sz="0" w:space="0" w:color="auto"/>
      </w:divBdr>
    </w:div>
    <w:div w:id="502167660">
      <w:bodyDiv w:val="1"/>
      <w:marLeft w:val="0"/>
      <w:marRight w:val="0"/>
      <w:marTop w:val="0"/>
      <w:marBottom w:val="0"/>
      <w:divBdr>
        <w:top w:val="none" w:sz="0" w:space="0" w:color="auto"/>
        <w:left w:val="none" w:sz="0" w:space="0" w:color="auto"/>
        <w:bottom w:val="none" w:sz="0" w:space="0" w:color="auto"/>
        <w:right w:val="none" w:sz="0" w:space="0" w:color="auto"/>
      </w:divBdr>
    </w:div>
    <w:div w:id="512035724">
      <w:bodyDiv w:val="1"/>
      <w:marLeft w:val="0"/>
      <w:marRight w:val="0"/>
      <w:marTop w:val="0"/>
      <w:marBottom w:val="0"/>
      <w:divBdr>
        <w:top w:val="none" w:sz="0" w:space="0" w:color="auto"/>
        <w:left w:val="none" w:sz="0" w:space="0" w:color="auto"/>
        <w:bottom w:val="none" w:sz="0" w:space="0" w:color="auto"/>
        <w:right w:val="none" w:sz="0" w:space="0" w:color="auto"/>
      </w:divBdr>
    </w:div>
    <w:div w:id="563876350">
      <w:bodyDiv w:val="1"/>
      <w:marLeft w:val="0"/>
      <w:marRight w:val="0"/>
      <w:marTop w:val="0"/>
      <w:marBottom w:val="0"/>
      <w:divBdr>
        <w:top w:val="none" w:sz="0" w:space="0" w:color="auto"/>
        <w:left w:val="none" w:sz="0" w:space="0" w:color="auto"/>
        <w:bottom w:val="none" w:sz="0" w:space="0" w:color="auto"/>
        <w:right w:val="none" w:sz="0" w:space="0" w:color="auto"/>
      </w:divBdr>
    </w:div>
    <w:div w:id="638804410">
      <w:bodyDiv w:val="1"/>
      <w:marLeft w:val="0"/>
      <w:marRight w:val="0"/>
      <w:marTop w:val="0"/>
      <w:marBottom w:val="0"/>
      <w:divBdr>
        <w:top w:val="none" w:sz="0" w:space="0" w:color="auto"/>
        <w:left w:val="none" w:sz="0" w:space="0" w:color="auto"/>
        <w:bottom w:val="none" w:sz="0" w:space="0" w:color="auto"/>
        <w:right w:val="none" w:sz="0" w:space="0" w:color="auto"/>
      </w:divBdr>
    </w:div>
    <w:div w:id="647055893">
      <w:bodyDiv w:val="1"/>
      <w:marLeft w:val="0"/>
      <w:marRight w:val="0"/>
      <w:marTop w:val="0"/>
      <w:marBottom w:val="0"/>
      <w:divBdr>
        <w:top w:val="none" w:sz="0" w:space="0" w:color="auto"/>
        <w:left w:val="none" w:sz="0" w:space="0" w:color="auto"/>
        <w:bottom w:val="none" w:sz="0" w:space="0" w:color="auto"/>
        <w:right w:val="none" w:sz="0" w:space="0" w:color="auto"/>
      </w:divBdr>
    </w:div>
    <w:div w:id="684481130">
      <w:bodyDiv w:val="1"/>
      <w:marLeft w:val="0"/>
      <w:marRight w:val="0"/>
      <w:marTop w:val="0"/>
      <w:marBottom w:val="0"/>
      <w:divBdr>
        <w:top w:val="none" w:sz="0" w:space="0" w:color="auto"/>
        <w:left w:val="none" w:sz="0" w:space="0" w:color="auto"/>
        <w:bottom w:val="none" w:sz="0" w:space="0" w:color="auto"/>
        <w:right w:val="none" w:sz="0" w:space="0" w:color="auto"/>
      </w:divBdr>
    </w:div>
    <w:div w:id="776145798">
      <w:bodyDiv w:val="1"/>
      <w:marLeft w:val="0"/>
      <w:marRight w:val="0"/>
      <w:marTop w:val="0"/>
      <w:marBottom w:val="0"/>
      <w:divBdr>
        <w:top w:val="none" w:sz="0" w:space="0" w:color="auto"/>
        <w:left w:val="none" w:sz="0" w:space="0" w:color="auto"/>
        <w:bottom w:val="none" w:sz="0" w:space="0" w:color="auto"/>
        <w:right w:val="none" w:sz="0" w:space="0" w:color="auto"/>
      </w:divBdr>
    </w:div>
    <w:div w:id="879441558">
      <w:bodyDiv w:val="1"/>
      <w:marLeft w:val="0"/>
      <w:marRight w:val="0"/>
      <w:marTop w:val="0"/>
      <w:marBottom w:val="0"/>
      <w:divBdr>
        <w:top w:val="none" w:sz="0" w:space="0" w:color="auto"/>
        <w:left w:val="none" w:sz="0" w:space="0" w:color="auto"/>
        <w:bottom w:val="none" w:sz="0" w:space="0" w:color="auto"/>
        <w:right w:val="none" w:sz="0" w:space="0" w:color="auto"/>
      </w:divBdr>
    </w:div>
    <w:div w:id="895437751">
      <w:bodyDiv w:val="1"/>
      <w:marLeft w:val="0"/>
      <w:marRight w:val="0"/>
      <w:marTop w:val="0"/>
      <w:marBottom w:val="0"/>
      <w:divBdr>
        <w:top w:val="none" w:sz="0" w:space="0" w:color="auto"/>
        <w:left w:val="none" w:sz="0" w:space="0" w:color="auto"/>
        <w:bottom w:val="none" w:sz="0" w:space="0" w:color="auto"/>
        <w:right w:val="none" w:sz="0" w:space="0" w:color="auto"/>
      </w:divBdr>
    </w:div>
    <w:div w:id="931083073">
      <w:bodyDiv w:val="1"/>
      <w:marLeft w:val="0"/>
      <w:marRight w:val="0"/>
      <w:marTop w:val="0"/>
      <w:marBottom w:val="0"/>
      <w:divBdr>
        <w:top w:val="none" w:sz="0" w:space="0" w:color="auto"/>
        <w:left w:val="none" w:sz="0" w:space="0" w:color="auto"/>
        <w:bottom w:val="none" w:sz="0" w:space="0" w:color="auto"/>
        <w:right w:val="none" w:sz="0" w:space="0" w:color="auto"/>
      </w:divBdr>
    </w:div>
    <w:div w:id="1047874248">
      <w:bodyDiv w:val="1"/>
      <w:marLeft w:val="0"/>
      <w:marRight w:val="0"/>
      <w:marTop w:val="0"/>
      <w:marBottom w:val="0"/>
      <w:divBdr>
        <w:top w:val="none" w:sz="0" w:space="0" w:color="auto"/>
        <w:left w:val="none" w:sz="0" w:space="0" w:color="auto"/>
        <w:bottom w:val="none" w:sz="0" w:space="0" w:color="auto"/>
        <w:right w:val="none" w:sz="0" w:space="0" w:color="auto"/>
      </w:divBdr>
    </w:div>
    <w:div w:id="1100678984">
      <w:bodyDiv w:val="1"/>
      <w:marLeft w:val="0"/>
      <w:marRight w:val="0"/>
      <w:marTop w:val="0"/>
      <w:marBottom w:val="0"/>
      <w:divBdr>
        <w:top w:val="none" w:sz="0" w:space="0" w:color="auto"/>
        <w:left w:val="none" w:sz="0" w:space="0" w:color="auto"/>
        <w:bottom w:val="none" w:sz="0" w:space="0" w:color="auto"/>
        <w:right w:val="none" w:sz="0" w:space="0" w:color="auto"/>
      </w:divBdr>
    </w:div>
    <w:div w:id="1305358206">
      <w:bodyDiv w:val="1"/>
      <w:marLeft w:val="0"/>
      <w:marRight w:val="0"/>
      <w:marTop w:val="0"/>
      <w:marBottom w:val="0"/>
      <w:divBdr>
        <w:top w:val="none" w:sz="0" w:space="0" w:color="auto"/>
        <w:left w:val="none" w:sz="0" w:space="0" w:color="auto"/>
        <w:bottom w:val="none" w:sz="0" w:space="0" w:color="auto"/>
        <w:right w:val="none" w:sz="0" w:space="0" w:color="auto"/>
      </w:divBdr>
    </w:div>
    <w:div w:id="1323966943">
      <w:bodyDiv w:val="1"/>
      <w:marLeft w:val="0"/>
      <w:marRight w:val="0"/>
      <w:marTop w:val="0"/>
      <w:marBottom w:val="0"/>
      <w:divBdr>
        <w:top w:val="none" w:sz="0" w:space="0" w:color="auto"/>
        <w:left w:val="none" w:sz="0" w:space="0" w:color="auto"/>
        <w:bottom w:val="none" w:sz="0" w:space="0" w:color="auto"/>
        <w:right w:val="none" w:sz="0" w:space="0" w:color="auto"/>
      </w:divBdr>
    </w:div>
    <w:div w:id="1370836865">
      <w:bodyDiv w:val="1"/>
      <w:marLeft w:val="0"/>
      <w:marRight w:val="0"/>
      <w:marTop w:val="0"/>
      <w:marBottom w:val="0"/>
      <w:divBdr>
        <w:top w:val="none" w:sz="0" w:space="0" w:color="auto"/>
        <w:left w:val="none" w:sz="0" w:space="0" w:color="auto"/>
        <w:bottom w:val="none" w:sz="0" w:space="0" w:color="auto"/>
        <w:right w:val="none" w:sz="0" w:space="0" w:color="auto"/>
      </w:divBdr>
    </w:div>
    <w:div w:id="1373260954">
      <w:bodyDiv w:val="1"/>
      <w:marLeft w:val="0"/>
      <w:marRight w:val="0"/>
      <w:marTop w:val="0"/>
      <w:marBottom w:val="0"/>
      <w:divBdr>
        <w:top w:val="none" w:sz="0" w:space="0" w:color="auto"/>
        <w:left w:val="none" w:sz="0" w:space="0" w:color="auto"/>
        <w:bottom w:val="none" w:sz="0" w:space="0" w:color="auto"/>
        <w:right w:val="none" w:sz="0" w:space="0" w:color="auto"/>
      </w:divBdr>
    </w:div>
    <w:div w:id="1391610806">
      <w:bodyDiv w:val="1"/>
      <w:marLeft w:val="0"/>
      <w:marRight w:val="0"/>
      <w:marTop w:val="0"/>
      <w:marBottom w:val="0"/>
      <w:divBdr>
        <w:top w:val="none" w:sz="0" w:space="0" w:color="auto"/>
        <w:left w:val="none" w:sz="0" w:space="0" w:color="auto"/>
        <w:bottom w:val="none" w:sz="0" w:space="0" w:color="auto"/>
        <w:right w:val="none" w:sz="0" w:space="0" w:color="auto"/>
      </w:divBdr>
    </w:div>
    <w:div w:id="1433934857">
      <w:bodyDiv w:val="1"/>
      <w:marLeft w:val="0"/>
      <w:marRight w:val="0"/>
      <w:marTop w:val="0"/>
      <w:marBottom w:val="0"/>
      <w:divBdr>
        <w:top w:val="none" w:sz="0" w:space="0" w:color="auto"/>
        <w:left w:val="none" w:sz="0" w:space="0" w:color="auto"/>
        <w:bottom w:val="none" w:sz="0" w:space="0" w:color="auto"/>
        <w:right w:val="none" w:sz="0" w:space="0" w:color="auto"/>
      </w:divBdr>
    </w:div>
    <w:div w:id="1502620586">
      <w:bodyDiv w:val="1"/>
      <w:marLeft w:val="0"/>
      <w:marRight w:val="0"/>
      <w:marTop w:val="0"/>
      <w:marBottom w:val="0"/>
      <w:divBdr>
        <w:top w:val="none" w:sz="0" w:space="0" w:color="auto"/>
        <w:left w:val="none" w:sz="0" w:space="0" w:color="auto"/>
        <w:bottom w:val="none" w:sz="0" w:space="0" w:color="auto"/>
        <w:right w:val="none" w:sz="0" w:space="0" w:color="auto"/>
      </w:divBdr>
    </w:div>
    <w:div w:id="1610746275">
      <w:bodyDiv w:val="1"/>
      <w:marLeft w:val="0"/>
      <w:marRight w:val="0"/>
      <w:marTop w:val="0"/>
      <w:marBottom w:val="0"/>
      <w:divBdr>
        <w:top w:val="none" w:sz="0" w:space="0" w:color="auto"/>
        <w:left w:val="none" w:sz="0" w:space="0" w:color="auto"/>
        <w:bottom w:val="none" w:sz="0" w:space="0" w:color="auto"/>
        <w:right w:val="none" w:sz="0" w:space="0" w:color="auto"/>
      </w:divBdr>
    </w:div>
    <w:div w:id="1656839273">
      <w:bodyDiv w:val="1"/>
      <w:marLeft w:val="0"/>
      <w:marRight w:val="0"/>
      <w:marTop w:val="0"/>
      <w:marBottom w:val="0"/>
      <w:divBdr>
        <w:top w:val="none" w:sz="0" w:space="0" w:color="auto"/>
        <w:left w:val="none" w:sz="0" w:space="0" w:color="auto"/>
        <w:bottom w:val="none" w:sz="0" w:space="0" w:color="auto"/>
        <w:right w:val="none" w:sz="0" w:space="0" w:color="auto"/>
      </w:divBdr>
    </w:div>
    <w:div w:id="1729574920">
      <w:bodyDiv w:val="1"/>
      <w:marLeft w:val="0"/>
      <w:marRight w:val="0"/>
      <w:marTop w:val="0"/>
      <w:marBottom w:val="0"/>
      <w:divBdr>
        <w:top w:val="none" w:sz="0" w:space="0" w:color="auto"/>
        <w:left w:val="none" w:sz="0" w:space="0" w:color="auto"/>
        <w:bottom w:val="none" w:sz="0" w:space="0" w:color="auto"/>
        <w:right w:val="none" w:sz="0" w:space="0" w:color="auto"/>
      </w:divBdr>
      <w:divsChild>
        <w:div w:id="2124104371">
          <w:marLeft w:val="0"/>
          <w:marRight w:val="0"/>
          <w:marTop w:val="0"/>
          <w:marBottom w:val="0"/>
          <w:divBdr>
            <w:top w:val="none" w:sz="0" w:space="0" w:color="auto"/>
            <w:left w:val="none" w:sz="0" w:space="0" w:color="auto"/>
            <w:bottom w:val="none" w:sz="0" w:space="0" w:color="auto"/>
            <w:right w:val="none" w:sz="0" w:space="0" w:color="auto"/>
          </w:divBdr>
        </w:div>
      </w:divsChild>
    </w:div>
    <w:div w:id="1744451429">
      <w:bodyDiv w:val="1"/>
      <w:marLeft w:val="0"/>
      <w:marRight w:val="0"/>
      <w:marTop w:val="0"/>
      <w:marBottom w:val="0"/>
      <w:divBdr>
        <w:top w:val="none" w:sz="0" w:space="0" w:color="auto"/>
        <w:left w:val="none" w:sz="0" w:space="0" w:color="auto"/>
        <w:bottom w:val="none" w:sz="0" w:space="0" w:color="auto"/>
        <w:right w:val="none" w:sz="0" w:space="0" w:color="auto"/>
      </w:divBdr>
    </w:div>
    <w:div w:id="1871185080">
      <w:bodyDiv w:val="1"/>
      <w:marLeft w:val="0"/>
      <w:marRight w:val="0"/>
      <w:marTop w:val="0"/>
      <w:marBottom w:val="0"/>
      <w:divBdr>
        <w:top w:val="none" w:sz="0" w:space="0" w:color="auto"/>
        <w:left w:val="none" w:sz="0" w:space="0" w:color="auto"/>
        <w:bottom w:val="none" w:sz="0" w:space="0" w:color="auto"/>
        <w:right w:val="none" w:sz="0" w:space="0" w:color="auto"/>
      </w:divBdr>
    </w:div>
    <w:div w:id="1908412601">
      <w:bodyDiv w:val="1"/>
      <w:marLeft w:val="0"/>
      <w:marRight w:val="0"/>
      <w:marTop w:val="0"/>
      <w:marBottom w:val="0"/>
      <w:divBdr>
        <w:top w:val="none" w:sz="0" w:space="0" w:color="auto"/>
        <w:left w:val="none" w:sz="0" w:space="0" w:color="auto"/>
        <w:bottom w:val="none" w:sz="0" w:space="0" w:color="auto"/>
        <w:right w:val="none" w:sz="0" w:space="0" w:color="auto"/>
      </w:divBdr>
    </w:div>
    <w:div w:id="1921285695">
      <w:bodyDiv w:val="1"/>
      <w:marLeft w:val="0"/>
      <w:marRight w:val="0"/>
      <w:marTop w:val="0"/>
      <w:marBottom w:val="0"/>
      <w:divBdr>
        <w:top w:val="none" w:sz="0" w:space="0" w:color="auto"/>
        <w:left w:val="none" w:sz="0" w:space="0" w:color="auto"/>
        <w:bottom w:val="none" w:sz="0" w:space="0" w:color="auto"/>
        <w:right w:val="none" w:sz="0" w:space="0" w:color="auto"/>
      </w:divBdr>
    </w:div>
    <w:div w:id="1966767090">
      <w:bodyDiv w:val="1"/>
      <w:marLeft w:val="0"/>
      <w:marRight w:val="0"/>
      <w:marTop w:val="0"/>
      <w:marBottom w:val="0"/>
      <w:divBdr>
        <w:top w:val="none" w:sz="0" w:space="0" w:color="auto"/>
        <w:left w:val="none" w:sz="0" w:space="0" w:color="auto"/>
        <w:bottom w:val="none" w:sz="0" w:space="0" w:color="auto"/>
        <w:right w:val="none" w:sz="0" w:space="0" w:color="auto"/>
      </w:divBdr>
    </w:div>
    <w:div w:id="1973947247">
      <w:bodyDiv w:val="1"/>
      <w:marLeft w:val="0"/>
      <w:marRight w:val="0"/>
      <w:marTop w:val="0"/>
      <w:marBottom w:val="0"/>
      <w:divBdr>
        <w:top w:val="none" w:sz="0" w:space="0" w:color="auto"/>
        <w:left w:val="none" w:sz="0" w:space="0" w:color="auto"/>
        <w:bottom w:val="none" w:sz="0" w:space="0" w:color="auto"/>
        <w:right w:val="none" w:sz="0" w:space="0" w:color="auto"/>
      </w:divBdr>
      <w:divsChild>
        <w:div w:id="149776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10975D707984DA366E19667D9995B" ma:contentTypeVersion="2" ma:contentTypeDescription="Create a new document." ma:contentTypeScope="" ma:versionID="bb28827ebb14aed622a4a41eb9d7ed2f">
  <xsd:schema xmlns:xsd="http://www.w3.org/2001/XMLSchema" xmlns:xs="http://www.w3.org/2001/XMLSchema" xmlns:p="http://schemas.microsoft.com/office/2006/metadata/properties" xmlns:ns2="ab79ad19-d8e2-48b1-be82-392087cceb52" targetNamespace="http://schemas.microsoft.com/office/2006/metadata/properties" ma:root="true" ma:fieldsID="c2606583e5fb94bb3bf5c10e422272a3" ns2:_="">
    <xsd:import namespace="ab79ad19-d8e2-48b1-be82-392087cceb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ad19-d8e2-48b1-be82-392087cc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CE93C-F2E5-4E11-8B89-65652E77C011}"/>
</file>

<file path=customXml/itemProps2.xml><?xml version="1.0" encoding="utf-8"?>
<ds:datastoreItem xmlns:ds="http://schemas.openxmlformats.org/officeDocument/2006/customXml" ds:itemID="{5879FBF0-5C1F-4321-A37D-9010DED963F3}"/>
</file>

<file path=customXml/itemProps3.xml><?xml version="1.0" encoding="utf-8"?>
<ds:datastoreItem xmlns:ds="http://schemas.openxmlformats.org/officeDocument/2006/customXml" ds:itemID="{AC1EEB62-CB1D-4254-A689-71077F21AD57}"/>
</file>

<file path=docProps/app.xml><?xml version="1.0" encoding="utf-8"?>
<Properties xmlns="http://schemas.openxmlformats.org/officeDocument/2006/extended-properties" xmlns:vt="http://schemas.openxmlformats.org/officeDocument/2006/docPropsVTypes">
  <Template>Normal.dotm</Template>
  <TotalTime>44</TotalTime>
  <Pages>10</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Nr 1</dc:title>
  <dc:creator>Ruth Ginzberg</dc:creator>
  <cp:lastModifiedBy>Ruth Ginzberg</cp:lastModifiedBy>
  <cp:revision>15</cp:revision>
  <cp:lastPrinted>2015-11-06T20:35:00Z</cp:lastPrinted>
  <dcterms:created xsi:type="dcterms:W3CDTF">2017-02-10T14:08:00Z</dcterms:created>
  <dcterms:modified xsi:type="dcterms:W3CDTF">2017-02-10T19:32:00Z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0x01010068810975D707984DA366E19667D9995B</vt:lpwstr>
  </property>
</Properties>
</file>